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215B4" w14:textId="3C39A415" w:rsidR="00B65DEB" w:rsidRPr="00B65DEB" w:rsidRDefault="00B65DEB" w:rsidP="00B65DEB">
      <w:pPr>
        <w:pStyle w:val="3GPPHeader"/>
        <w:spacing w:after="60"/>
        <w:rPr>
          <w:sz w:val="32"/>
          <w:szCs w:val="32"/>
          <w:highlight w:val="yellow"/>
        </w:rPr>
      </w:pPr>
      <w:r w:rsidRPr="00CE0424">
        <w:t>3GPP TSG-RAN WG</w:t>
      </w:r>
      <w:r>
        <w:t>2</w:t>
      </w:r>
      <w:r w:rsidRPr="00CE0424">
        <w:t xml:space="preserve"> #</w:t>
      </w:r>
      <w:r>
        <w:t>11</w:t>
      </w:r>
      <w:r w:rsidR="00EF709C">
        <w:t>6</w:t>
      </w:r>
      <w:r w:rsidR="00967C30">
        <w:t>bis</w:t>
      </w:r>
      <w:r>
        <w:t>-e</w:t>
      </w:r>
      <w:r w:rsidRPr="00CE0424">
        <w:tab/>
      </w:r>
      <w:r w:rsidRPr="00CE0424">
        <w:rPr>
          <w:sz w:val="32"/>
          <w:szCs w:val="32"/>
        </w:rPr>
        <w:t xml:space="preserve">Tdoc </w:t>
      </w:r>
      <w:r w:rsidR="006250DB" w:rsidRPr="006250DB">
        <w:rPr>
          <w:sz w:val="32"/>
          <w:szCs w:val="32"/>
        </w:rPr>
        <w:t>R2-2200797</w:t>
      </w:r>
    </w:p>
    <w:p w14:paraId="6A6781CA" w14:textId="40E18817" w:rsidR="00B65DEB" w:rsidRPr="00CE0424" w:rsidRDefault="00B65DEB" w:rsidP="00B65DEB">
      <w:pPr>
        <w:pStyle w:val="3GPPHeader"/>
      </w:pPr>
      <w:r>
        <w:t xml:space="preserve">Electronic meeting, </w:t>
      </w:r>
      <w:r w:rsidR="00967C30">
        <w:t>January</w:t>
      </w:r>
      <w:r w:rsidR="004E7264">
        <w:t xml:space="preserve"> </w:t>
      </w:r>
      <w:r w:rsidR="00EF709C">
        <w:t>1</w:t>
      </w:r>
      <w:r w:rsidR="00967C30">
        <w:t>7</w:t>
      </w:r>
      <w:r w:rsidR="00967C30" w:rsidRPr="00967C30">
        <w:rPr>
          <w:vertAlign w:val="superscript"/>
        </w:rPr>
        <w:t>th</w:t>
      </w:r>
      <w:r w:rsidR="004E7264">
        <w:t xml:space="preserve"> </w:t>
      </w:r>
      <w:r w:rsidR="00097035">
        <w:t>-</w:t>
      </w:r>
      <w:r w:rsidR="004E7264">
        <w:t xml:space="preserve"> </w:t>
      </w:r>
      <w:r w:rsidR="00967C30">
        <w:t>25</w:t>
      </w:r>
      <w:r w:rsidR="004E7264" w:rsidRPr="004E7264">
        <w:rPr>
          <w:vertAlign w:val="superscript"/>
        </w:rPr>
        <w:t>th</w:t>
      </w:r>
      <w:r w:rsidR="004E7264">
        <w:t>, 202</w:t>
      </w:r>
      <w:r w:rsidR="00967C30">
        <w:t>2</w:t>
      </w:r>
    </w:p>
    <w:p w14:paraId="249EE8EB" w14:textId="77777777" w:rsidR="00B65DEB" w:rsidRDefault="00B65DEB" w:rsidP="00311702">
      <w:pPr>
        <w:pStyle w:val="3GPPHeader"/>
        <w:rPr>
          <w:sz w:val="22"/>
          <w:szCs w:val="22"/>
        </w:rPr>
      </w:pPr>
    </w:p>
    <w:p w14:paraId="1FC7F1B7" w14:textId="48CE3A4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6573D9" w:rsidRPr="006250DB">
        <w:rPr>
          <w:sz w:val="22"/>
          <w:szCs w:val="22"/>
        </w:rPr>
        <w:t>8.12.2.2</w:t>
      </w:r>
    </w:p>
    <w:p w14:paraId="5490BA7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F4D6D65" w14:textId="3CDDBDBC" w:rsidR="00E90E49" w:rsidRPr="00ED7874" w:rsidRDefault="003D3C45" w:rsidP="00311702">
      <w:pPr>
        <w:pStyle w:val="3GPPHeader"/>
        <w:rPr>
          <w:sz w:val="22"/>
        </w:rPr>
      </w:pPr>
      <w:r>
        <w:rPr>
          <w:sz w:val="22"/>
          <w:szCs w:val="22"/>
        </w:rPr>
        <w:t>Title:</w:t>
      </w:r>
      <w:r w:rsidR="00E90E49" w:rsidRPr="00CE0424">
        <w:rPr>
          <w:sz w:val="22"/>
          <w:szCs w:val="22"/>
        </w:rPr>
        <w:tab/>
      </w:r>
      <w:r w:rsidR="00176D33" w:rsidRPr="00176D33">
        <w:rPr>
          <w:sz w:val="22"/>
        </w:rPr>
        <w:t xml:space="preserve">Early indication </w:t>
      </w:r>
      <w:r w:rsidR="00EA2A30">
        <w:rPr>
          <w:sz w:val="22"/>
        </w:rPr>
        <w:t>&amp;</w:t>
      </w:r>
      <w:r w:rsidR="00EA2A30" w:rsidRPr="00176D33">
        <w:rPr>
          <w:sz w:val="22"/>
        </w:rPr>
        <w:t xml:space="preserve"> </w:t>
      </w:r>
      <w:r w:rsidR="00176D33" w:rsidRPr="00176D33">
        <w:rPr>
          <w:sz w:val="22"/>
        </w:rPr>
        <w:t>access restriction for RedCap UEs</w:t>
      </w:r>
    </w:p>
    <w:p w14:paraId="5FB768E2" w14:textId="53C8D673" w:rsidR="00E90E49" w:rsidRPr="00B65DEB" w:rsidRDefault="00E90E49" w:rsidP="00B65DEB">
      <w:pPr>
        <w:pStyle w:val="3GPPHeader"/>
        <w:rPr>
          <w:sz w:val="22"/>
          <w:szCs w:val="22"/>
        </w:rPr>
      </w:pPr>
      <w:r w:rsidRPr="00CE0424">
        <w:rPr>
          <w:sz w:val="22"/>
          <w:szCs w:val="22"/>
        </w:rPr>
        <w:t>Document for:</w:t>
      </w:r>
      <w:r w:rsidRPr="00CE0424">
        <w:rPr>
          <w:sz w:val="22"/>
          <w:szCs w:val="22"/>
        </w:rPr>
        <w:tab/>
      </w:r>
      <w:r w:rsidRPr="00885F1E">
        <w:rPr>
          <w:sz w:val="22"/>
          <w:szCs w:val="22"/>
        </w:rPr>
        <w:t>Discussion, Decision</w:t>
      </w:r>
    </w:p>
    <w:p w14:paraId="1A3F8424" w14:textId="77777777" w:rsidR="00E90E49" w:rsidRPr="00CE0424" w:rsidRDefault="00230D18" w:rsidP="00CE0424">
      <w:pPr>
        <w:pStyle w:val="Heading1"/>
      </w:pPr>
      <w:r>
        <w:t>1</w:t>
      </w:r>
      <w:r>
        <w:tab/>
      </w:r>
      <w:r w:rsidR="00E90E49" w:rsidRPr="00CE0424">
        <w:t>Introduction</w:t>
      </w:r>
    </w:p>
    <w:p w14:paraId="2CB26B35" w14:textId="09FD8277" w:rsidR="009E1F82" w:rsidRPr="009E1F82" w:rsidRDefault="00B00DC9" w:rsidP="00163D87">
      <w:pPr>
        <w:jc w:val="both"/>
        <w:rPr>
          <w:rFonts w:ascii="Arial" w:hAnsi="Arial" w:cs="Arial"/>
        </w:rPr>
      </w:pPr>
      <w:bookmarkStart w:id="0" w:name="_Ref178064866"/>
      <w:r>
        <w:rPr>
          <w:rFonts w:ascii="Arial" w:hAnsi="Arial" w:cs="Arial"/>
        </w:rPr>
        <w:t>In this contribution we will discuss</w:t>
      </w:r>
      <w:r w:rsidR="009E1F82" w:rsidRPr="009E1F82">
        <w:rPr>
          <w:rFonts w:ascii="Arial" w:hAnsi="Arial" w:cs="Arial"/>
        </w:rPr>
        <w:t xml:space="preserve"> </w:t>
      </w:r>
      <w:r w:rsidRPr="009E1F82">
        <w:rPr>
          <w:rFonts w:ascii="Arial" w:hAnsi="Arial" w:cs="Arial"/>
        </w:rPr>
        <w:t>the following RedCap WI objectives</w:t>
      </w:r>
      <w:r w:rsidRPr="008E1146">
        <w:rPr>
          <w:rFonts w:ascii="Arial" w:hAnsi="Arial" w:cs="Arial"/>
        </w:rPr>
        <w:t xml:space="preserve"> </w:t>
      </w:r>
      <w:r>
        <w:rPr>
          <w:rFonts w:ascii="Arial" w:hAnsi="Arial" w:cs="Arial"/>
        </w:rPr>
        <w:t xml:space="preserve">on </w:t>
      </w:r>
      <w:r w:rsidRPr="00861503">
        <w:rPr>
          <w:rFonts w:ascii="Arial" w:hAnsi="Arial" w:cs="Arial"/>
        </w:rPr>
        <w:t>RedCap early indication and RedCap access restriction</w:t>
      </w:r>
      <w:r w:rsidRPr="009E1F82">
        <w:rPr>
          <w:rFonts w:ascii="Arial" w:hAnsi="Arial" w:cs="Arial"/>
        </w:rPr>
        <w:t xml:space="preserve"> </w:t>
      </w:r>
      <w:r w:rsidR="0001393A">
        <w:rPr>
          <w:rFonts w:ascii="Arial" w:hAnsi="Arial" w:cs="Arial"/>
        </w:rPr>
        <w:fldChar w:fldCharType="begin"/>
      </w:r>
      <w:r w:rsidR="0001393A">
        <w:rPr>
          <w:rFonts w:ascii="Arial" w:hAnsi="Arial" w:cs="Arial"/>
        </w:rPr>
        <w:instrText xml:space="preserve"> REF _Ref71566419 \r \h </w:instrText>
      </w:r>
      <w:r w:rsidR="0001393A">
        <w:rPr>
          <w:rFonts w:ascii="Arial" w:hAnsi="Arial" w:cs="Arial"/>
        </w:rPr>
      </w:r>
      <w:r w:rsidR="0001393A">
        <w:rPr>
          <w:rFonts w:ascii="Arial" w:hAnsi="Arial" w:cs="Arial"/>
        </w:rPr>
        <w:fldChar w:fldCharType="separate"/>
      </w:r>
      <w:r w:rsidR="00EA47AF">
        <w:rPr>
          <w:rFonts w:ascii="Arial" w:hAnsi="Arial" w:cs="Arial"/>
        </w:rPr>
        <w:t>[1]</w:t>
      </w:r>
      <w:r w:rsidR="0001393A">
        <w:rPr>
          <w:rFonts w:ascii="Arial" w:hAnsi="Arial" w:cs="Arial"/>
        </w:rPr>
        <w:fldChar w:fldCharType="end"/>
      </w:r>
      <w:r w:rsidR="008E1146">
        <w:rPr>
          <w:rFonts w:ascii="Arial" w:hAnsi="Arial" w:cs="Arial"/>
        </w:rPr>
        <w:t>.</w:t>
      </w:r>
    </w:p>
    <w:tbl>
      <w:tblPr>
        <w:tblStyle w:val="TableGrid"/>
        <w:tblW w:w="0" w:type="auto"/>
        <w:tblLook w:val="04A0" w:firstRow="1" w:lastRow="0" w:firstColumn="1" w:lastColumn="0" w:noHBand="0" w:noVBand="1"/>
      </w:tblPr>
      <w:tblGrid>
        <w:gridCol w:w="9629"/>
      </w:tblGrid>
      <w:tr w:rsidR="009E1F82" w14:paraId="4C1A81F2" w14:textId="77777777" w:rsidTr="00F74CED">
        <w:tc>
          <w:tcPr>
            <w:tcW w:w="9629" w:type="dxa"/>
          </w:tcPr>
          <w:p w14:paraId="0733B27F" w14:textId="77777777" w:rsidR="009E1F82" w:rsidRPr="0011562B" w:rsidRDefault="009E1F82" w:rsidP="00FB0778">
            <w:pPr>
              <w:pStyle w:val="B1"/>
              <w:numPr>
                <w:ilvl w:val="0"/>
                <w:numId w:val="14"/>
              </w:numPr>
              <w:spacing w:before="120" w:after="180"/>
              <w:ind w:left="714" w:hanging="357"/>
              <w:textAlignment w:val="auto"/>
              <w:rPr>
                <w:rFonts w:eastAsia="SimSun"/>
                <w:bCs/>
                <w:sz w:val="20"/>
                <w:szCs w:val="20"/>
                <w:lang w:val="en-US" w:eastAsia="ja-JP"/>
              </w:rPr>
            </w:pPr>
            <w:r w:rsidRPr="0011562B">
              <w:rPr>
                <w:rFonts w:eastAsia="SimSun"/>
                <w:bCs/>
                <w:sz w:val="20"/>
                <w:szCs w:val="20"/>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65536A1B" w14:textId="77777777" w:rsidR="009E1F82" w:rsidRPr="001E132F" w:rsidRDefault="009E1F82" w:rsidP="00FB0778">
            <w:pPr>
              <w:pStyle w:val="B1"/>
              <w:numPr>
                <w:ilvl w:val="0"/>
                <w:numId w:val="14"/>
              </w:numPr>
              <w:spacing w:after="180"/>
              <w:textAlignment w:val="auto"/>
              <w:rPr>
                <w:rFonts w:eastAsia="SimSun"/>
                <w:bCs/>
                <w:lang w:val="en-US" w:eastAsia="ja-JP"/>
              </w:rPr>
            </w:pPr>
            <w:bookmarkStart w:id="1" w:name="_Hlk67648184"/>
            <w:r w:rsidRPr="0011562B">
              <w:rPr>
                <w:rFonts w:eastAsia="SimSun"/>
                <w:bCs/>
                <w:sz w:val="20"/>
                <w:szCs w:val="20"/>
                <w:lang w:val="en-US" w:eastAsia="ja-JP"/>
              </w:rPr>
              <w:t xml:space="preserve">Specify a system information indication to indicate whether a RedCap UE can camp on the cell/frequency or not; </w:t>
            </w:r>
            <w:bookmarkStart w:id="2" w:name="_Hlk67650013"/>
            <w:r w:rsidRPr="0011562B">
              <w:rPr>
                <w:rFonts w:eastAsia="SimSun"/>
                <w:bCs/>
                <w:sz w:val="20"/>
                <w:szCs w:val="20"/>
                <w:lang w:val="en-US" w:eastAsia="ja-JP"/>
              </w:rPr>
              <w:t>it shall be possible for the indication to be specific to the number of Rx branches of the UE</w:t>
            </w:r>
            <w:bookmarkEnd w:id="1"/>
            <w:bookmarkEnd w:id="2"/>
            <w:r w:rsidRPr="0011562B">
              <w:rPr>
                <w:rFonts w:eastAsia="SimSun"/>
                <w:bCs/>
                <w:sz w:val="20"/>
                <w:szCs w:val="20"/>
                <w:lang w:val="en-US" w:eastAsia="ja-JP"/>
              </w:rPr>
              <w:t>. [RAN2, RAN1]</w:t>
            </w:r>
            <w:r>
              <w:rPr>
                <w:rFonts w:eastAsia="SimSun"/>
                <w:bCs/>
                <w:lang w:val="en-US" w:eastAsia="ja-JP"/>
              </w:rPr>
              <w:t xml:space="preserve"> </w:t>
            </w:r>
          </w:p>
        </w:tc>
      </w:tr>
      <w:bookmarkEnd w:id="0"/>
    </w:tbl>
    <w:p w14:paraId="7ACB59D0" w14:textId="15AD4C09" w:rsidR="00C75195" w:rsidRDefault="00C75195" w:rsidP="00163D87">
      <w:pPr>
        <w:jc w:val="both"/>
        <w:rPr>
          <w:lang w:val="en-US"/>
        </w:rPr>
      </w:pPr>
    </w:p>
    <w:p w14:paraId="1E364989" w14:textId="6177A70C" w:rsidR="00B87277" w:rsidRPr="008F19CC" w:rsidRDefault="00681BAC" w:rsidP="008F19CC">
      <w:pPr>
        <w:pStyle w:val="Heading1"/>
        <w:rPr>
          <w:lang w:val="en-US"/>
        </w:rPr>
      </w:pPr>
      <w:r>
        <w:t>2</w:t>
      </w:r>
      <w:r>
        <w:tab/>
      </w:r>
      <w:r w:rsidR="00AF764B" w:rsidRPr="00474DBB">
        <w:rPr>
          <w:lang w:val="en-US"/>
        </w:rPr>
        <w:t xml:space="preserve">RedCap </w:t>
      </w:r>
      <w:r w:rsidR="008E5A13">
        <w:rPr>
          <w:lang w:val="en-US"/>
        </w:rPr>
        <w:t>e</w:t>
      </w:r>
      <w:r>
        <w:rPr>
          <w:lang w:val="en-US"/>
        </w:rPr>
        <w:t xml:space="preserve">arly </w:t>
      </w:r>
      <w:r w:rsidR="008E5A13">
        <w:rPr>
          <w:lang w:val="en-US"/>
        </w:rPr>
        <w:t>i</w:t>
      </w:r>
      <w:r>
        <w:rPr>
          <w:lang w:val="en-US"/>
        </w:rPr>
        <w:t>dentification</w:t>
      </w:r>
    </w:p>
    <w:p w14:paraId="243478EC" w14:textId="5FB69743" w:rsidR="00312EF9" w:rsidRPr="00694A47" w:rsidRDefault="00694A47" w:rsidP="00694A47">
      <w:pPr>
        <w:pStyle w:val="Heading2"/>
      </w:pPr>
      <w:r>
        <w:t>2.1</w:t>
      </w:r>
      <w:r>
        <w:tab/>
      </w:r>
      <w:r w:rsidR="0023537E">
        <w:t>Msg3 early identification</w:t>
      </w:r>
    </w:p>
    <w:p w14:paraId="4C5DD293" w14:textId="1EF86BC0" w:rsidR="00097035" w:rsidRPr="00EE6C84" w:rsidRDefault="00BF7B29" w:rsidP="00097035">
      <w:pPr>
        <w:jc w:val="both"/>
        <w:rPr>
          <w:rFonts w:ascii="Arial" w:hAnsi="Arial" w:cs="Arial"/>
        </w:rPr>
      </w:pPr>
      <w:r>
        <w:rPr>
          <w:rFonts w:ascii="Arial" w:hAnsi="Arial" w:cs="Arial"/>
        </w:rPr>
        <w:t>In RAN2#116e it was agreed that RedCap UEs will use a dedicated LCID when transmitting CCCH data as Msg3 early indication. The remaining open issue, capture in the agreement below, is whether RedCap UEs should always use this dedicate LCID or only when certain conditions are fulfilled.</w:t>
      </w:r>
    </w:p>
    <w:p w14:paraId="278EC57C" w14:textId="77777777" w:rsidR="00EE6C84" w:rsidRPr="00A11234" w:rsidRDefault="00EE6C84" w:rsidP="00097035">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930" w:hanging="363"/>
        <w:jc w:val="both"/>
        <w:textAlignment w:val="auto"/>
        <w:rPr>
          <w:rFonts w:ascii="Arial" w:eastAsia="MS Mincho" w:hAnsi="Arial" w:cs="Arial"/>
          <w:szCs w:val="24"/>
          <w:lang w:eastAsia="en-GB"/>
        </w:rPr>
      </w:pPr>
      <w:r w:rsidRPr="00A11234">
        <w:rPr>
          <w:rFonts w:ascii="Arial" w:eastAsia="MS Mincho" w:hAnsi="Arial" w:cs="Arial"/>
          <w:szCs w:val="24"/>
          <w:lang w:eastAsia="en-GB"/>
        </w:rPr>
        <w:t>Agreements online:</w:t>
      </w:r>
    </w:p>
    <w:p w14:paraId="2B3AED01" w14:textId="77777777" w:rsidR="00EE6C84" w:rsidRPr="00867787" w:rsidRDefault="00EE6C84" w:rsidP="00097035">
      <w:pPr>
        <w:numPr>
          <w:ilvl w:val="0"/>
          <w:numId w:val="25"/>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927"/>
        <w:jc w:val="both"/>
        <w:textAlignment w:val="auto"/>
        <w:rPr>
          <w:rFonts w:ascii="Arial" w:eastAsia="MS Mincho" w:hAnsi="Arial" w:cs="Arial"/>
          <w:szCs w:val="24"/>
          <w:lang w:eastAsia="en-GB"/>
        </w:rPr>
      </w:pPr>
      <w:r w:rsidRPr="00A11234">
        <w:rPr>
          <w:rFonts w:ascii="Arial" w:eastAsia="MS Mincho" w:hAnsi="Arial" w:cs="Arial"/>
          <w:szCs w:val="24"/>
          <w:lang w:eastAsia="en-GB"/>
        </w:rPr>
        <w:t xml:space="preserve">In MAC perspective, RedCap UE uses the dedicated LCID for Msg3 early identification, when the Msg3 includes the CCCH data. </w:t>
      </w:r>
      <w:r w:rsidRPr="00A11234">
        <w:rPr>
          <w:rFonts w:ascii="Arial" w:eastAsia="MS Mincho" w:hAnsi="Arial" w:cs="Arial"/>
          <w:szCs w:val="24"/>
          <w:highlight w:val="yellow"/>
          <w:lang w:eastAsia="en-GB"/>
        </w:rPr>
        <w:t>FFS on whether it requires no other precondition, or precondition as “when Msg1 early identification is not configured”, or precondition as “when Msg3 early identification is enabled by NW</w:t>
      </w:r>
      <w:r w:rsidRPr="00867787">
        <w:rPr>
          <w:rFonts w:ascii="Arial" w:eastAsia="MS Mincho" w:hAnsi="Arial" w:cs="Arial"/>
          <w:szCs w:val="24"/>
          <w:lang w:eastAsia="en-GB"/>
        </w:rPr>
        <w:t>”.</w:t>
      </w:r>
    </w:p>
    <w:p w14:paraId="7121AF83" w14:textId="525FEAAB" w:rsidR="00097035" w:rsidRDefault="00867787" w:rsidP="00097035">
      <w:pPr>
        <w:spacing w:before="240" w:after="240"/>
        <w:ind w:right="-142"/>
        <w:jc w:val="both"/>
        <w:rPr>
          <w:rFonts w:ascii="Arial" w:hAnsi="Arial" w:cs="Arial"/>
        </w:rPr>
      </w:pPr>
      <w:r>
        <w:rPr>
          <w:rFonts w:ascii="Arial" w:hAnsi="Arial" w:cs="Arial"/>
        </w:rPr>
        <w:t>Always using the dedicated LCID when CCCH data in included in Msg3 is the simplest solution since no conditions must be specified and considered. Further, since the LCID will anyway be in place there is no drawback of using it, or reversely, there is no benefit of not using under certain conditions. This was also the approach and solution adopted for Rel-</w:t>
      </w:r>
      <w:r w:rsidR="007A68F0">
        <w:rPr>
          <w:rFonts w:ascii="Arial" w:hAnsi="Arial" w:cs="Arial"/>
        </w:rPr>
        <w:t>12</w:t>
      </w:r>
      <w:r>
        <w:rPr>
          <w:rFonts w:ascii="Arial" w:hAnsi="Arial" w:cs="Arial"/>
        </w:rPr>
        <w:t xml:space="preserve"> Cat-0</w:t>
      </w:r>
      <w:r w:rsidR="000F2AC8">
        <w:rPr>
          <w:rFonts w:ascii="Arial" w:hAnsi="Arial" w:cs="Arial"/>
        </w:rPr>
        <w:t xml:space="preserve"> UE</w:t>
      </w:r>
      <w:r>
        <w:rPr>
          <w:rFonts w:ascii="Arial" w:hAnsi="Arial" w:cs="Arial"/>
        </w:rPr>
        <w:t>.</w:t>
      </w:r>
    </w:p>
    <w:p w14:paraId="175B606C" w14:textId="512BD500" w:rsidR="00EE6C84" w:rsidRPr="00EE6C84" w:rsidRDefault="00867787" w:rsidP="00097035">
      <w:pPr>
        <w:pStyle w:val="Observation"/>
      </w:pPr>
      <w:bookmarkStart w:id="3" w:name="_Toc92708191"/>
      <w:r>
        <w:t xml:space="preserve">Always using </w:t>
      </w:r>
      <w:r w:rsidR="000F2AC8">
        <w:t xml:space="preserve">the </w:t>
      </w:r>
      <w:r>
        <w:t>dedicated LCID in Msg3 is the simplest solution and there is no benefit of not using it under certain conditions.</w:t>
      </w:r>
      <w:bookmarkEnd w:id="3"/>
    </w:p>
    <w:p w14:paraId="79C5F827" w14:textId="44BB8608" w:rsidR="007C54ED" w:rsidRDefault="007C54ED" w:rsidP="00097035">
      <w:pPr>
        <w:pStyle w:val="Proposal"/>
      </w:pPr>
      <w:bookmarkStart w:id="4" w:name="_Toc92708199"/>
      <w:r>
        <w:t xml:space="preserve">RedCap UE uses the dedicated LCID </w:t>
      </w:r>
      <w:r w:rsidR="000F2AC8">
        <w:t xml:space="preserve">in Msg3 </w:t>
      </w:r>
      <w:r w:rsidRPr="007C54ED">
        <w:t>whenever CCCH data</w:t>
      </w:r>
      <w:r>
        <w:t xml:space="preserve"> </w:t>
      </w:r>
      <w:r w:rsidR="004F1BC2">
        <w:t xml:space="preserve">is included </w:t>
      </w:r>
      <w:r>
        <w:t>(i.e.</w:t>
      </w:r>
      <w:r w:rsidR="000F2AC8">
        <w:t>,</w:t>
      </w:r>
      <w:r>
        <w:t xml:space="preserve"> no precondition).</w:t>
      </w:r>
      <w:bookmarkEnd w:id="4"/>
    </w:p>
    <w:p w14:paraId="34A21328" w14:textId="77777777" w:rsidR="00F576F0" w:rsidRPr="00F576F0" w:rsidRDefault="00F576F0" w:rsidP="00097035">
      <w:pPr>
        <w:jc w:val="both"/>
        <w:rPr>
          <w:rFonts w:ascii="Arial" w:hAnsi="Arial" w:cs="Arial"/>
        </w:rPr>
      </w:pPr>
    </w:p>
    <w:p w14:paraId="5E0B3DFF" w14:textId="74A5A750" w:rsidR="00A32FF1" w:rsidRDefault="00694A47" w:rsidP="00A32FF1">
      <w:pPr>
        <w:pStyle w:val="Heading2"/>
      </w:pPr>
      <w:r>
        <w:lastRenderedPageBreak/>
        <w:t>2.2</w:t>
      </w:r>
      <w:r>
        <w:tab/>
      </w:r>
      <w:r w:rsidR="00A32FF1">
        <w:t>2-step RACH</w:t>
      </w:r>
    </w:p>
    <w:p w14:paraId="2BB738AB" w14:textId="102DD6A0" w:rsidR="00D42820" w:rsidRDefault="00814C71" w:rsidP="00097035">
      <w:pPr>
        <w:jc w:val="both"/>
        <w:rPr>
          <w:rFonts w:ascii="Arial" w:hAnsi="Arial" w:cs="Arial"/>
        </w:rPr>
      </w:pPr>
      <w:r>
        <w:rPr>
          <w:rFonts w:ascii="Arial" w:hAnsi="Arial" w:cs="Arial"/>
        </w:rPr>
        <w:t>Recently there has also been some progress for 2-step RACH procedure</w:t>
      </w:r>
      <w:r w:rsidR="00D42820">
        <w:rPr>
          <w:rFonts w:ascii="Arial" w:hAnsi="Arial" w:cs="Arial"/>
        </w:rPr>
        <w:t>.</w:t>
      </w:r>
      <w:r>
        <w:rPr>
          <w:rFonts w:ascii="Arial" w:hAnsi="Arial" w:cs="Arial"/>
        </w:rPr>
        <w:t xml:space="preserve"> In RAN2#116e the following was agreed: </w:t>
      </w:r>
    </w:p>
    <w:p w14:paraId="066CF322" w14:textId="77777777" w:rsidR="00D42820" w:rsidRDefault="00D42820" w:rsidP="00097035">
      <w:pPr>
        <w:pStyle w:val="Doc-text2"/>
        <w:pBdr>
          <w:top w:val="single" w:sz="4" w:space="1" w:color="auto"/>
          <w:left w:val="single" w:sz="4" w:space="4" w:color="auto"/>
          <w:bottom w:val="single" w:sz="4" w:space="1" w:color="auto"/>
          <w:right w:val="single" w:sz="4" w:space="4" w:color="auto"/>
        </w:pBdr>
        <w:ind w:left="363"/>
        <w:jc w:val="both"/>
      </w:pPr>
      <w:r>
        <w:t>Agreements via email - from offline 110:</w:t>
      </w:r>
    </w:p>
    <w:p w14:paraId="5558046E" w14:textId="18971E50" w:rsidR="00D42820" w:rsidRDefault="00D42820" w:rsidP="00097035">
      <w:pPr>
        <w:pStyle w:val="Doc-text2"/>
        <w:pBdr>
          <w:top w:val="single" w:sz="4" w:space="1" w:color="auto"/>
          <w:left w:val="single" w:sz="4" w:space="4" w:color="auto"/>
          <w:bottom w:val="single" w:sz="4" w:space="1" w:color="auto"/>
          <w:right w:val="single" w:sz="4" w:space="4" w:color="auto"/>
        </w:pBdr>
        <w:ind w:left="363"/>
        <w:jc w:val="both"/>
      </w:pPr>
    </w:p>
    <w:p w14:paraId="2CAEC29C" w14:textId="77777777" w:rsidR="00D42820" w:rsidRDefault="00D42820" w:rsidP="00097035">
      <w:pPr>
        <w:pStyle w:val="Doc-text2"/>
        <w:pBdr>
          <w:top w:val="single" w:sz="4" w:space="1" w:color="auto"/>
          <w:left w:val="single" w:sz="4" w:space="4" w:color="auto"/>
          <w:bottom w:val="single" w:sz="4" w:space="1" w:color="auto"/>
          <w:right w:val="single" w:sz="4" w:space="4" w:color="auto"/>
        </w:pBdr>
        <w:ind w:left="363"/>
        <w:jc w:val="both"/>
      </w:pPr>
      <w:r>
        <w:t>4.</w:t>
      </w:r>
      <w:r>
        <w:tab/>
        <w:t>At least the dedicated LCID (i.e. the Msg3 early identification solution) can be supported for MsgA early identification. It is up to RAN1 on the need of dedicated preamble and/or dedicated PUSCH resource configuration.</w:t>
      </w:r>
    </w:p>
    <w:p w14:paraId="476C9B8F" w14:textId="0E85EE60" w:rsidR="00D42820" w:rsidRDefault="00D42820" w:rsidP="00097035">
      <w:pPr>
        <w:pStyle w:val="Doc-text2"/>
        <w:pBdr>
          <w:top w:val="single" w:sz="4" w:space="1" w:color="auto"/>
          <w:left w:val="single" w:sz="4" w:space="4" w:color="auto"/>
          <w:bottom w:val="single" w:sz="4" w:space="1" w:color="auto"/>
          <w:right w:val="single" w:sz="4" w:space="4" w:color="auto"/>
        </w:pBdr>
        <w:ind w:left="363"/>
        <w:jc w:val="both"/>
      </w:pPr>
    </w:p>
    <w:p w14:paraId="2110D90F" w14:textId="6E1B7C51" w:rsidR="00D42820" w:rsidRPr="00EC5992" w:rsidRDefault="00814C71" w:rsidP="00097035">
      <w:pPr>
        <w:pStyle w:val="Comments"/>
        <w:spacing w:before="120"/>
        <w:jc w:val="both"/>
        <w:rPr>
          <w:i w:val="0"/>
          <w:iCs/>
          <w:sz w:val="20"/>
          <w:szCs w:val="22"/>
        </w:rPr>
      </w:pPr>
      <w:r>
        <w:rPr>
          <w:i w:val="0"/>
          <w:iCs/>
          <w:sz w:val="20"/>
          <w:szCs w:val="22"/>
        </w:rPr>
        <w:t xml:space="preserve">And related to the last part </w:t>
      </w:r>
      <w:r w:rsidR="00D42820" w:rsidRPr="00EC5992">
        <w:rPr>
          <w:i w:val="0"/>
          <w:iCs/>
          <w:sz w:val="20"/>
          <w:szCs w:val="22"/>
        </w:rPr>
        <w:t xml:space="preserve">RAN1 </w:t>
      </w:r>
      <w:r>
        <w:rPr>
          <w:i w:val="0"/>
          <w:iCs/>
          <w:sz w:val="20"/>
          <w:szCs w:val="22"/>
        </w:rPr>
        <w:t>made the following agreement</w:t>
      </w:r>
      <w:r w:rsidR="00D42820" w:rsidRPr="00EC5992">
        <w:rPr>
          <w:i w:val="0"/>
          <w:iCs/>
          <w:sz w:val="20"/>
          <w:szCs w:val="22"/>
        </w:rPr>
        <w:t>:</w:t>
      </w:r>
    </w:p>
    <w:p w14:paraId="1E63DD5B" w14:textId="77777777" w:rsidR="00D42820" w:rsidRDefault="00D42820" w:rsidP="00D42820">
      <w:pPr>
        <w:pStyle w:val="Comments"/>
        <w:rPr>
          <w:i w:val="0"/>
          <w:iCs/>
        </w:rPr>
      </w:pPr>
    </w:p>
    <w:tbl>
      <w:tblPr>
        <w:tblStyle w:val="TableGrid"/>
        <w:tblW w:w="0" w:type="auto"/>
        <w:tblLook w:val="04A0" w:firstRow="1" w:lastRow="0" w:firstColumn="1" w:lastColumn="0" w:noHBand="0" w:noVBand="1"/>
      </w:tblPr>
      <w:tblGrid>
        <w:gridCol w:w="9629"/>
      </w:tblGrid>
      <w:tr w:rsidR="00D42820" w14:paraId="76A8160A" w14:textId="77777777" w:rsidTr="00CB38B2">
        <w:tc>
          <w:tcPr>
            <w:tcW w:w="9629" w:type="dxa"/>
          </w:tcPr>
          <w:p w14:paraId="782FBBC7" w14:textId="77777777" w:rsidR="00D42820" w:rsidRPr="00C6701E" w:rsidRDefault="00D42820" w:rsidP="00E67738">
            <w:pPr>
              <w:overflowPunct/>
              <w:autoSpaceDE/>
              <w:autoSpaceDN/>
              <w:adjustRightInd/>
              <w:spacing w:beforeLines="20" w:before="48" w:afterLines="20" w:after="48"/>
              <w:textAlignment w:val="auto"/>
              <w:rPr>
                <w:b/>
                <w:sz w:val="18"/>
                <w:szCs w:val="18"/>
                <w:lang w:val="en-US" w:eastAsia="en-US"/>
              </w:rPr>
            </w:pPr>
            <w:r w:rsidRPr="00C6701E">
              <w:rPr>
                <w:b/>
                <w:sz w:val="20"/>
                <w:szCs w:val="20"/>
                <w:highlight w:val="green"/>
                <w:lang w:val="en-US" w:eastAsia="en-US"/>
              </w:rPr>
              <w:t>Agreement</w:t>
            </w:r>
          </w:p>
          <w:p w14:paraId="5A43CBAF" w14:textId="77777777" w:rsidR="00D42820" w:rsidRPr="00C6701E" w:rsidRDefault="00D42820" w:rsidP="00E67738">
            <w:pPr>
              <w:numPr>
                <w:ilvl w:val="0"/>
                <w:numId w:val="30"/>
              </w:numPr>
              <w:overflowPunct/>
              <w:autoSpaceDE/>
              <w:autoSpaceDN/>
              <w:adjustRightInd/>
              <w:spacing w:beforeLines="20" w:before="48" w:afterLines="20" w:after="48"/>
              <w:textAlignment w:val="auto"/>
              <w:rPr>
                <w:rFonts w:eastAsia="SimSun"/>
                <w:sz w:val="18"/>
                <w:szCs w:val="18"/>
                <w:lang w:val="en-US" w:eastAsia="en-US"/>
              </w:rPr>
            </w:pPr>
            <w:r w:rsidRPr="00C6701E">
              <w:rPr>
                <w:rFonts w:eastAsia="SimSun"/>
                <w:sz w:val="20"/>
                <w:szCs w:val="20"/>
                <w:lang w:val="en-US" w:eastAsia="en-US"/>
              </w:rPr>
              <w:t>For 2-step RACH, support the early indication of RedCap UEs at least in MsgA PRACH.</w:t>
            </w:r>
          </w:p>
          <w:p w14:paraId="75E9E54B" w14:textId="77777777" w:rsidR="00D42820" w:rsidRPr="00C6701E" w:rsidRDefault="00D42820" w:rsidP="00E67738">
            <w:pPr>
              <w:numPr>
                <w:ilvl w:val="1"/>
                <w:numId w:val="30"/>
              </w:numPr>
              <w:overflowPunct/>
              <w:autoSpaceDE/>
              <w:autoSpaceDN/>
              <w:adjustRightInd/>
              <w:spacing w:beforeLines="20" w:before="48" w:afterLines="20" w:after="48"/>
              <w:textAlignment w:val="auto"/>
              <w:rPr>
                <w:rFonts w:eastAsia="SimSun"/>
                <w:sz w:val="18"/>
                <w:szCs w:val="18"/>
                <w:lang w:val="en-US" w:eastAsia="en-US"/>
              </w:rPr>
            </w:pPr>
            <w:r w:rsidRPr="00C6701E">
              <w:rPr>
                <w:rFonts w:eastAsia="SimSun"/>
                <w:sz w:val="20"/>
                <w:szCs w:val="20"/>
                <w:lang w:val="en-US" w:eastAsia="en-US"/>
              </w:rPr>
              <w:t xml:space="preserve">The early indication in MsgA PRACH can be configured to be enabled/disabled via SIB. </w:t>
            </w:r>
          </w:p>
          <w:p w14:paraId="290E5D97" w14:textId="77777777" w:rsidR="00D42820" w:rsidRPr="00C6701E" w:rsidRDefault="00D42820" w:rsidP="00E67738">
            <w:pPr>
              <w:numPr>
                <w:ilvl w:val="1"/>
                <w:numId w:val="30"/>
              </w:numPr>
              <w:overflowPunct/>
              <w:autoSpaceDE/>
              <w:autoSpaceDN/>
              <w:adjustRightInd/>
              <w:spacing w:beforeLines="20" w:before="48" w:afterLines="20" w:after="48"/>
              <w:textAlignment w:val="auto"/>
              <w:rPr>
                <w:rFonts w:eastAsia="SimSun"/>
                <w:sz w:val="18"/>
                <w:szCs w:val="18"/>
                <w:lang w:val="en-US" w:eastAsia="en-US"/>
              </w:rPr>
            </w:pPr>
            <w:r w:rsidRPr="00C6701E">
              <w:rPr>
                <w:rFonts w:eastAsia="SimSun"/>
                <w:sz w:val="20"/>
                <w:szCs w:val="20"/>
                <w:lang w:val="en-US" w:eastAsia="en-US"/>
              </w:rPr>
              <w:t xml:space="preserve">From RAN1 perspective, the following methods can be used for early indication both for shared initial UL BWP and separate initial UL BWP </w:t>
            </w:r>
          </w:p>
          <w:p w14:paraId="272940B3" w14:textId="77777777" w:rsidR="00D42820" w:rsidRPr="00C6701E" w:rsidRDefault="00D42820" w:rsidP="00E67738">
            <w:pPr>
              <w:numPr>
                <w:ilvl w:val="2"/>
                <w:numId w:val="30"/>
              </w:numPr>
              <w:overflowPunct/>
              <w:autoSpaceDE/>
              <w:autoSpaceDN/>
              <w:adjustRightInd/>
              <w:spacing w:beforeLines="20" w:before="48" w:afterLines="20" w:after="48"/>
              <w:textAlignment w:val="auto"/>
              <w:rPr>
                <w:rFonts w:eastAsia="SimSun"/>
                <w:sz w:val="18"/>
                <w:szCs w:val="18"/>
                <w:lang w:val="en-US" w:eastAsia="en-US"/>
              </w:rPr>
            </w:pPr>
            <w:r w:rsidRPr="00C6701E">
              <w:rPr>
                <w:rFonts w:eastAsia="SimSun"/>
                <w:sz w:val="20"/>
                <w:szCs w:val="20"/>
                <w:lang w:val="en-US" w:eastAsia="en-US"/>
              </w:rPr>
              <w:t>separate MsgA PRACH resource</w:t>
            </w:r>
          </w:p>
          <w:p w14:paraId="4D029201" w14:textId="7D4EB4B3" w:rsidR="00D42820" w:rsidRPr="00C21096" w:rsidRDefault="00D42820" w:rsidP="00CB38B2">
            <w:pPr>
              <w:numPr>
                <w:ilvl w:val="2"/>
                <w:numId w:val="30"/>
              </w:numPr>
              <w:overflowPunct/>
              <w:autoSpaceDE/>
              <w:autoSpaceDN/>
              <w:adjustRightInd/>
              <w:spacing w:beforeLines="20" w:before="48" w:afterLines="20" w:after="48"/>
              <w:textAlignment w:val="auto"/>
              <w:rPr>
                <w:rFonts w:ascii="Calibri" w:eastAsia="SimSun" w:hAnsi="Calibri" w:cs="Calibri"/>
                <w:b/>
                <w:bCs/>
                <w:lang w:val="en-US" w:eastAsia="en-US"/>
              </w:rPr>
            </w:pPr>
            <w:r w:rsidRPr="00C6701E">
              <w:rPr>
                <w:rFonts w:eastAsia="SimSun"/>
                <w:sz w:val="20"/>
                <w:szCs w:val="20"/>
                <w:lang w:val="en-US" w:eastAsia="en-US"/>
              </w:rPr>
              <w:t>MsgA PRACH preamble partitioning</w:t>
            </w:r>
          </w:p>
        </w:tc>
      </w:tr>
    </w:tbl>
    <w:p w14:paraId="29626A21" w14:textId="77777777" w:rsidR="00D42820" w:rsidRDefault="00D42820" w:rsidP="00D42820">
      <w:pPr>
        <w:pStyle w:val="Comments"/>
        <w:rPr>
          <w:i w:val="0"/>
          <w:iCs/>
        </w:rPr>
      </w:pPr>
    </w:p>
    <w:p w14:paraId="024C5FD4" w14:textId="3B15312F" w:rsidR="00A32FF1" w:rsidRDefault="00C21096" w:rsidP="00A32FF1">
      <w:pPr>
        <w:rPr>
          <w:rFonts w:ascii="Arial" w:hAnsi="Arial" w:cs="Arial"/>
        </w:rPr>
      </w:pPr>
      <w:r>
        <w:rPr>
          <w:rFonts w:ascii="Arial" w:hAnsi="Arial" w:cs="Arial"/>
        </w:rPr>
        <w:t xml:space="preserve">Hence early indication for 2-step RACH will be the same/similar to the 4-step RACH, and therefore it would be suitable </w:t>
      </w:r>
      <w:r w:rsidR="004F1BC2">
        <w:rPr>
          <w:rFonts w:ascii="Arial" w:hAnsi="Arial" w:cs="Arial"/>
        </w:rPr>
        <w:t xml:space="preserve">to </w:t>
      </w:r>
      <w:r>
        <w:rPr>
          <w:rFonts w:ascii="Arial" w:hAnsi="Arial" w:cs="Arial"/>
        </w:rPr>
        <w:t>make further agreements which are c</w:t>
      </w:r>
      <w:r w:rsidR="00A32FF1" w:rsidRPr="00A32FF1">
        <w:rPr>
          <w:rFonts w:ascii="Arial" w:hAnsi="Arial" w:cs="Arial"/>
        </w:rPr>
        <w:t>ounterpart</w:t>
      </w:r>
      <w:r w:rsidR="004F1BC2">
        <w:rPr>
          <w:rFonts w:ascii="Arial" w:hAnsi="Arial" w:cs="Arial"/>
        </w:rPr>
        <w:t>s</w:t>
      </w:r>
      <w:r w:rsidR="00A32FF1" w:rsidRPr="00A32FF1">
        <w:rPr>
          <w:rFonts w:ascii="Arial" w:hAnsi="Arial" w:cs="Arial"/>
        </w:rPr>
        <w:t xml:space="preserve"> of 4-step agreements</w:t>
      </w:r>
      <w:r>
        <w:rPr>
          <w:rFonts w:ascii="Arial" w:hAnsi="Arial" w:cs="Arial"/>
        </w:rPr>
        <w:t xml:space="preserve"> made in RAN2#116e</w:t>
      </w:r>
      <w:r w:rsidR="001A2AC5">
        <w:rPr>
          <w:rFonts w:ascii="Arial" w:hAnsi="Arial" w:cs="Arial"/>
        </w:rPr>
        <w:t>:</w:t>
      </w:r>
    </w:p>
    <w:tbl>
      <w:tblPr>
        <w:tblStyle w:val="TableGrid"/>
        <w:tblW w:w="0" w:type="auto"/>
        <w:tblLook w:val="04A0" w:firstRow="1" w:lastRow="0" w:firstColumn="1" w:lastColumn="0" w:noHBand="0" w:noVBand="1"/>
      </w:tblPr>
      <w:tblGrid>
        <w:gridCol w:w="9629"/>
      </w:tblGrid>
      <w:tr w:rsidR="00C21096" w14:paraId="660A3317" w14:textId="77777777" w:rsidTr="00C21096">
        <w:tc>
          <w:tcPr>
            <w:tcW w:w="9629" w:type="dxa"/>
          </w:tcPr>
          <w:p w14:paraId="66ABD27D" w14:textId="77777777" w:rsidR="00C21096" w:rsidRPr="00C21096" w:rsidRDefault="00C21096" w:rsidP="00097035">
            <w:pPr>
              <w:tabs>
                <w:tab w:val="left" w:pos="1622"/>
              </w:tabs>
              <w:spacing w:before="120" w:after="0"/>
              <w:ind w:left="363" w:hanging="363"/>
              <w:rPr>
                <w:rFonts w:ascii="Arial" w:eastAsia="MS Mincho" w:hAnsi="Arial"/>
                <w:sz w:val="20"/>
                <w:lang w:val="x-none" w:eastAsia="x-none"/>
              </w:rPr>
            </w:pPr>
            <w:r w:rsidRPr="00C21096">
              <w:rPr>
                <w:rFonts w:ascii="Arial" w:eastAsia="MS Mincho" w:hAnsi="Arial"/>
                <w:sz w:val="20"/>
                <w:lang w:val="x-none" w:eastAsia="x-none"/>
              </w:rPr>
              <w:t>Agreements via email - from offline 110:</w:t>
            </w:r>
          </w:p>
          <w:p w14:paraId="68B6F341" w14:textId="77777777" w:rsidR="00C21096" w:rsidRPr="00C21096" w:rsidRDefault="00C21096" w:rsidP="00097035">
            <w:pPr>
              <w:numPr>
                <w:ilvl w:val="0"/>
                <w:numId w:val="32"/>
              </w:numPr>
              <w:overflowPunct/>
              <w:autoSpaceDE/>
              <w:autoSpaceDN/>
              <w:adjustRightInd/>
              <w:spacing w:after="0"/>
              <w:ind w:left="360"/>
              <w:textAlignment w:val="auto"/>
              <w:rPr>
                <w:rFonts w:ascii="Arial" w:eastAsia="MS Mincho" w:hAnsi="Arial"/>
                <w:sz w:val="20"/>
                <w:lang w:val="x-none" w:eastAsia="x-none"/>
              </w:rPr>
            </w:pPr>
            <w:r w:rsidRPr="00C21096">
              <w:rPr>
                <w:rFonts w:ascii="Arial" w:eastAsia="MS Mincho" w:hAnsi="Arial"/>
                <w:sz w:val="20"/>
                <w:lang w:val="x-none" w:eastAsia="x-none"/>
              </w:rPr>
              <w:t>In MAC perspective, a RedCap UE uses Msg</w:t>
            </w:r>
            <w:r w:rsidRPr="00C21096">
              <w:rPr>
                <w:rFonts w:ascii="Arial" w:eastAsia="MS Mincho" w:hAnsi="Arial"/>
                <w:strike/>
                <w:color w:val="FF0000"/>
                <w:sz w:val="20"/>
                <w:lang w:val="x-none" w:eastAsia="x-none"/>
              </w:rPr>
              <w:t>1</w:t>
            </w:r>
            <w:r w:rsidRPr="00C21096">
              <w:rPr>
                <w:rFonts w:ascii="Arial" w:eastAsia="MS Mincho" w:hAnsi="Arial"/>
                <w:color w:val="FF0000"/>
                <w:sz w:val="20"/>
                <w:lang w:val="x-none" w:eastAsia="x-none"/>
              </w:rPr>
              <w:t>A PRACH</w:t>
            </w:r>
            <w:r w:rsidRPr="00C21096">
              <w:rPr>
                <w:rFonts w:ascii="Arial" w:eastAsia="MS Mincho" w:hAnsi="Arial"/>
                <w:sz w:val="20"/>
                <w:lang w:val="x-none" w:eastAsia="x-none"/>
              </w:rPr>
              <w:t xml:space="preserve"> early identification whenever transmitting preamble for CBRA, as long as the Msg</w:t>
            </w:r>
            <w:r w:rsidRPr="00C21096">
              <w:rPr>
                <w:rFonts w:ascii="Arial" w:eastAsia="MS Mincho" w:hAnsi="Arial"/>
                <w:strike/>
                <w:color w:val="FF0000"/>
                <w:sz w:val="20"/>
                <w:lang w:val="x-none" w:eastAsia="x-none"/>
              </w:rPr>
              <w:t>1</w:t>
            </w:r>
            <w:r w:rsidRPr="00C21096">
              <w:rPr>
                <w:rFonts w:ascii="Arial" w:eastAsia="MS Mincho" w:hAnsi="Arial"/>
                <w:color w:val="FF0000"/>
                <w:sz w:val="20"/>
                <w:lang w:val="x-none" w:eastAsia="x-none"/>
              </w:rPr>
              <w:t>A PRACH</w:t>
            </w:r>
            <w:r w:rsidRPr="00C21096">
              <w:rPr>
                <w:rFonts w:ascii="Arial" w:eastAsia="MS Mincho" w:hAnsi="Arial"/>
                <w:sz w:val="20"/>
                <w:lang w:val="x-none" w:eastAsia="x-none"/>
              </w:rPr>
              <w:t xml:space="preserve"> early identification is configured for RedCap by NW.</w:t>
            </w:r>
          </w:p>
          <w:p w14:paraId="4D9EE964" w14:textId="77777777" w:rsidR="00C21096" w:rsidRPr="00C21096" w:rsidRDefault="00C21096" w:rsidP="00097035">
            <w:pPr>
              <w:tabs>
                <w:tab w:val="left" w:pos="1622"/>
              </w:tabs>
              <w:spacing w:after="0"/>
              <w:ind w:left="363" w:hanging="363"/>
              <w:rPr>
                <w:rFonts w:ascii="Arial" w:eastAsia="MS Mincho" w:hAnsi="Arial"/>
                <w:sz w:val="20"/>
                <w:lang w:val="x-none" w:eastAsia="x-none"/>
              </w:rPr>
            </w:pPr>
            <w:r w:rsidRPr="00C21096">
              <w:rPr>
                <w:rFonts w:ascii="Arial" w:eastAsia="MS Mincho" w:hAnsi="Arial"/>
                <w:sz w:val="20"/>
                <w:lang w:val="x-none" w:eastAsia="x-none"/>
              </w:rPr>
              <w:t>2.   For Msg</w:t>
            </w:r>
            <w:r w:rsidRPr="00C21096">
              <w:rPr>
                <w:rFonts w:ascii="Arial" w:eastAsia="MS Mincho" w:hAnsi="Arial"/>
                <w:strike/>
                <w:color w:val="FF0000"/>
                <w:sz w:val="20"/>
                <w:lang w:val="x-none" w:eastAsia="x-none"/>
              </w:rPr>
              <w:t>1</w:t>
            </w:r>
            <w:r w:rsidRPr="00C21096">
              <w:rPr>
                <w:rFonts w:ascii="Arial" w:eastAsia="MS Mincho" w:hAnsi="Arial"/>
                <w:color w:val="FF0000"/>
                <w:sz w:val="20"/>
                <w:lang w:val="x-none" w:eastAsia="x-none"/>
              </w:rPr>
              <w:t>A PRACH</w:t>
            </w:r>
            <w:r w:rsidRPr="00C21096">
              <w:rPr>
                <w:rFonts w:ascii="Arial" w:eastAsia="MS Mincho" w:hAnsi="Arial"/>
                <w:sz w:val="20"/>
                <w:lang w:val="x-none" w:eastAsia="x-none"/>
              </w:rPr>
              <w:t xml:space="preserve"> early identification, RAN2 confirm both dedicated ROs and dedicated PRACH preamble can be supported from signalling point of view</w:t>
            </w:r>
          </w:p>
          <w:p w14:paraId="30FFF296" w14:textId="34DC2C97" w:rsidR="00C21096" w:rsidRPr="00C21096" w:rsidRDefault="00C21096" w:rsidP="00097035">
            <w:pPr>
              <w:tabs>
                <w:tab w:val="left" w:pos="1622"/>
              </w:tabs>
              <w:spacing w:after="240"/>
              <w:ind w:left="363" w:hanging="363"/>
              <w:rPr>
                <w:rFonts w:ascii="Arial" w:eastAsia="MS Mincho" w:hAnsi="Arial"/>
                <w:sz w:val="20"/>
                <w:lang w:val="x-none" w:eastAsia="x-none"/>
              </w:rPr>
            </w:pPr>
            <w:r w:rsidRPr="00C21096">
              <w:rPr>
                <w:rFonts w:ascii="Arial" w:eastAsia="MS Mincho" w:hAnsi="Arial"/>
                <w:sz w:val="20"/>
                <w:lang w:val="x-none" w:eastAsia="x-none"/>
              </w:rPr>
              <w:t>3.   For RedCap, Msg</w:t>
            </w:r>
            <w:r w:rsidRPr="00C21096">
              <w:rPr>
                <w:rFonts w:ascii="Arial" w:eastAsia="MS Mincho" w:hAnsi="Arial"/>
                <w:strike/>
                <w:color w:val="FF0000"/>
                <w:sz w:val="20"/>
                <w:lang w:val="x-none" w:eastAsia="x-none"/>
              </w:rPr>
              <w:t>1</w:t>
            </w:r>
            <w:r w:rsidRPr="00C21096">
              <w:rPr>
                <w:rFonts w:ascii="Arial" w:eastAsia="MS Mincho" w:hAnsi="Arial"/>
                <w:color w:val="FF0000"/>
                <w:sz w:val="20"/>
                <w:lang w:val="x-none" w:eastAsia="x-none"/>
              </w:rPr>
              <w:t>A PRACH</w:t>
            </w:r>
            <w:r w:rsidRPr="00C21096">
              <w:rPr>
                <w:rFonts w:ascii="Arial" w:eastAsia="MS Mincho" w:hAnsi="Arial"/>
                <w:sz w:val="20"/>
                <w:lang w:val="x-none" w:eastAsia="x-none"/>
              </w:rPr>
              <w:t xml:space="preserve"> early identification is enabled/disabled implicitly by the presence of dedicate RACH configuration for Msg</w:t>
            </w:r>
            <w:r w:rsidRPr="00C21096">
              <w:rPr>
                <w:rFonts w:ascii="Arial" w:eastAsia="MS Mincho" w:hAnsi="Arial"/>
                <w:strike/>
                <w:color w:val="FF0000"/>
                <w:sz w:val="20"/>
                <w:lang w:val="x-none" w:eastAsia="x-none"/>
              </w:rPr>
              <w:t>1</w:t>
            </w:r>
            <w:r w:rsidRPr="00C21096">
              <w:rPr>
                <w:rFonts w:ascii="Arial" w:eastAsia="MS Mincho" w:hAnsi="Arial"/>
                <w:color w:val="FF0000"/>
                <w:sz w:val="20"/>
                <w:lang w:val="x-none" w:eastAsia="x-none"/>
              </w:rPr>
              <w:t>A PRACH</w:t>
            </w:r>
            <w:r w:rsidRPr="00C21096">
              <w:rPr>
                <w:rFonts w:ascii="Arial" w:eastAsia="MS Mincho" w:hAnsi="Arial"/>
                <w:sz w:val="20"/>
                <w:lang w:val="x-none" w:eastAsia="x-none"/>
              </w:rPr>
              <w:t xml:space="preserve"> early identification.</w:t>
            </w:r>
          </w:p>
        </w:tc>
      </w:tr>
    </w:tbl>
    <w:p w14:paraId="32A9404F" w14:textId="77777777" w:rsidR="001A2AC5" w:rsidRDefault="001A2AC5" w:rsidP="00C21096">
      <w:pPr>
        <w:pStyle w:val="Doc-text2"/>
        <w:ind w:left="0" w:firstLine="0"/>
      </w:pPr>
      <w:r>
        <w:t> </w:t>
      </w:r>
    </w:p>
    <w:p w14:paraId="1B3F8F10" w14:textId="02CA1FB9" w:rsidR="002204A7" w:rsidRDefault="002204A7" w:rsidP="00097035">
      <w:pPr>
        <w:jc w:val="both"/>
        <w:rPr>
          <w:rFonts w:ascii="Arial" w:hAnsi="Arial" w:cs="Arial"/>
        </w:rPr>
      </w:pPr>
      <w:r>
        <w:rPr>
          <w:rFonts w:ascii="Arial" w:hAnsi="Arial" w:cs="Arial"/>
        </w:rPr>
        <w:t>Therefore, we propose the following:</w:t>
      </w:r>
    </w:p>
    <w:p w14:paraId="70600FE2" w14:textId="341A3D00" w:rsidR="002204A7" w:rsidRPr="002204A7" w:rsidRDefault="002204A7" w:rsidP="00097035">
      <w:pPr>
        <w:pStyle w:val="Proposal"/>
      </w:pPr>
      <w:bookmarkStart w:id="5" w:name="_Toc92708200"/>
      <w:r w:rsidRPr="002204A7">
        <w:t>In MAC perspective, a RedCap UE uses MsgA PRACH early identification whenever transmitting preamble for CBRA, as long as the MsgA PRACH early identification is configured for RedCap by NW.</w:t>
      </w:r>
      <w:bookmarkEnd w:id="5"/>
    </w:p>
    <w:p w14:paraId="304E3E59" w14:textId="5BE6A1E7" w:rsidR="002204A7" w:rsidRPr="002204A7" w:rsidRDefault="002204A7" w:rsidP="00097035">
      <w:pPr>
        <w:pStyle w:val="Proposal"/>
      </w:pPr>
      <w:bookmarkStart w:id="6" w:name="_Toc92708201"/>
      <w:r w:rsidRPr="002204A7">
        <w:t>For MsgA PRACH early identification, RAN2 confirm</w:t>
      </w:r>
      <w:r w:rsidR="004F1BC2">
        <w:t>s</w:t>
      </w:r>
      <w:r w:rsidRPr="002204A7">
        <w:t xml:space="preserve"> both dedicated ROs and dedicated PRACH preamble can be supported from signalling point of view</w:t>
      </w:r>
      <w:r w:rsidR="00852BEC">
        <w:t>.</w:t>
      </w:r>
      <w:bookmarkEnd w:id="6"/>
    </w:p>
    <w:p w14:paraId="44BAAFE1" w14:textId="39DDFC07" w:rsidR="002204A7" w:rsidRPr="002204A7" w:rsidRDefault="002204A7" w:rsidP="00097035">
      <w:pPr>
        <w:pStyle w:val="Proposal"/>
        <w:rPr>
          <w:sz w:val="18"/>
          <w:szCs w:val="18"/>
        </w:rPr>
      </w:pPr>
      <w:bookmarkStart w:id="7" w:name="_Toc92708202"/>
      <w:r w:rsidRPr="002204A7">
        <w:t>For RedCap, MsgA PRACH early identification is enabled/disabled implicitly by the presence of dedicate</w:t>
      </w:r>
      <w:r w:rsidR="004F1BC2">
        <w:t>d</w:t>
      </w:r>
      <w:r w:rsidRPr="002204A7">
        <w:t xml:space="preserve"> RACH configuration for MsgA PRACH early identification.</w:t>
      </w:r>
      <w:bookmarkEnd w:id="7"/>
    </w:p>
    <w:p w14:paraId="26390C81" w14:textId="77777777" w:rsidR="00097035" w:rsidRDefault="00097035" w:rsidP="00097035">
      <w:pPr>
        <w:jc w:val="both"/>
        <w:rPr>
          <w:rFonts w:ascii="Arial" w:hAnsi="Arial" w:cs="Arial"/>
        </w:rPr>
      </w:pPr>
    </w:p>
    <w:p w14:paraId="432A58CC" w14:textId="502B3FBD" w:rsidR="001A2AC5" w:rsidRPr="00A32FF1" w:rsidRDefault="00303445" w:rsidP="00097035">
      <w:pPr>
        <w:jc w:val="both"/>
        <w:rPr>
          <w:rFonts w:ascii="Arial" w:hAnsi="Arial" w:cs="Arial"/>
        </w:rPr>
      </w:pPr>
      <w:r>
        <w:rPr>
          <w:rFonts w:ascii="Arial" w:hAnsi="Arial" w:cs="Arial"/>
        </w:rPr>
        <w:t>Further, when to include the early indication in MsgA PUSCH part should follow the same logic as for Msg3 early indication and therefore we propose the following:</w:t>
      </w:r>
    </w:p>
    <w:p w14:paraId="544B554E" w14:textId="21D9BB29" w:rsidR="00303445" w:rsidRDefault="00303445" w:rsidP="00097035">
      <w:pPr>
        <w:pStyle w:val="Proposal"/>
      </w:pPr>
      <w:bookmarkStart w:id="8" w:name="_Toc92708203"/>
      <w:r>
        <w:t xml:space="preserve">RedCap UE uses the dedicated LCID </w:t>
      </w:r>
      <w:r w:rsidR="004F1BC2">
        <w:t>in MsgA</w:t>
      </w:r>
      <w:r w:rsidR="00075F23">
        <w:t xml:space="preserve"> PUSCH part</w:t>
      </w:r>
      <w:r w:rsidR="004F1BC2">
        <w:t xml:space="preserve"> </w:t>
      </w:r>
      <w:r w:rsidRPr="007C54ED">
        <w:t xml:space="preserve">whenever </w:t>
      </w:r>
      <w:r w:rsidR="004F1BC2">
        <w:t xml:space="preserve">CCCH data is included </w:t>
      </w:r>
      <w:r>
        <w:t>(i.e., no precondition).</w:t>
      </w:r>
      <w:bookmarkEnd w:id="8"/>
    </w:p>
    <w:p w14:paraId="6653825F" w14:textId="77777777" w:rsidR="00303445" w:rsidRPr="00A32FF1" w:rsidRDefault="00303445" w:rsidP="00097035">
      <w:pPr>
        <w:jc w:val="both"/>
        <w:rPr>
          <w:rFonts w:ascii="Arial" w:hAnsi="Arial" w:cs="Arial"/>
        </w:rPr>
      </w:pPr>
    </w:p>
    <w:p w14:paraId="137B71A4" w14:textId="5BCD6588" w:rsidR="001D5142" w:rsidRPr="008F19CC" w:rsidRDefault="001D5142" w:rsidP="001D5142">
      <w:pPr>
        <w:pStyle w:val="Heading1"/>
        <w:rPr>
          <w:lang w:val="en-US"/>
        </w:rPr>
      </w:pPr>
      <w:r>
        <w:lastRenderedPageBreak/>
        <w:t>3</w:t>
      </w:r>
      <w:r>
        <w:tab/>
      </w:r>
      <w:r w:rsidRPr="00474DBB">
        <w:rPr>
          <w:lang w:val="en-US"/>
        </w:rPr>
        <w:t xml:space="preserve">RedCap </w:t>
      </w:r>
      <w:r>
        <w:rPr>
          <w:lang w:val="en-US"/>
        </w:rPr>
        <w:t>access restriction</w:t>
      </w:r>
    </w:p>
    <w:p w14:paraId="4E9EE2B2" w14:textId="2199A0DC" w:rsidR="0023537E" w:rsidRDefault="001D5142" w:rsidP="0023537E">
      <w:pPr>
        <w:pStyle w:val="Heading2"/>
      </w:pPr>
      <w:r>
        <w:t>3.1</w:t>
      </w:r>
      <w:r w:rsidR="00D90355">
        <w:tab/>
      </w:r>
      <w:r w:rsidR="00D047B6">
        <w:t xml:space="preserve">Cell barring &amp; </w:t>
      </w:r>
      <w:r w:rsidR="0023537E">
        <w:t>RedCap specific IFRI</w:t>
      </w:r>
    </w:p>
    <w:p w14:paraId="2666029F" w14:textId="32B90925" w:rsidR="003B66F0" w:rsidRDefault="003B66F0" w:rsidP="00097035">
      <w:pPr>
        <w:jc w:val="both"/>
        <w:rPr>
          <w:rFonts w:ascii="Arial" w:hAnsi="Arial" w:cs="Arial"/>
        </w:rPr>
      </w:pPr>
      <w:r>
        <w:rPr>
          <w:rFonts w:ascii="Arial" w:hAnsi="Arial" w:cs="Arial"/>
        </w:rPr>
        <w:t xml:space="preserve">In our previous contribution </w:t>
      </w:r>
      <w:hyperlink r:id="rId11">
        <w:r w:rsidRPr="003B66F0">
          <w:rPr>
            <w:rStyle w:val="Hyperlink"/>
            <w:rFonts w:ascii="Arial" w:hAnsi="Arial" w:cs="Arial"/>
            <w:color w:val="0563C1" w:themeColor="hyperlink"/>
          </w:rPr>
          <w:t>R2-2111098</w:t>
        </w:r>
      </w:hyperlink>
      <w:r>
        <w:rPr>
          <w:rFonts w:ascii="Arial" w:hAnsi="Arial" w:cs="Arial"/>
        </w:rPr>
        <w:t xml:space="preserve"> we </w:t>
      </w:r>
      <w:r w:rsidR="004C1F2B">
        <w:rPr>
          <w:rFonts w:ascii="Arial" w:hAnsi="Arial" w:cs="Arial"/>
        </w:rPr>
        <w:t>pointed out</w:t>
      </w:r>
      <w:r>
        <w:rPr>
          <w:rFonts w:ascii="Arial" w:hAnsi="Arial" w:cs="Arial"/>
        </w:rPr>
        <w:t xml:space="preserve"> that it is superfluous to use two separate bits for indicating the cell barring for 1 Rx and 2 Rx RedCap respectively (due to the absence of either RedCap configuration or IFRI). However, the out</w:t>
      </w:r>
      <w:r w:rsidR="00C42DB7">
        <w:rPr>
          <w:rFonts w:ascii="Arial" w:hAnsi="Arial" w:cs="Arial"/>
        </w:rPr>
        <w:t>come</w:t>
      </w:r>
      <w:r>
        <w:rPr>
          <w:rFonts w:ascii="Arial" w:hAnsi="Arial" w:cs="Arial"/>
        </w:rPr>
        <w:t xml:space="preserve"> of </w:t>
      </w:r>
      <w:r w:rsidR="00C15740">
        <w:rPr>
          <w:rFonts w:ascii="Arial" w:hAnsi="Arial" w:cs="Arial"/>
        </w:rPr>
        <w:t xml:space="preserve">the </w:t>
      </w:r>
      <w:r>
        <w:rPr>
          <w:rFonts w:ascii="Arial" w:hAnsi="Arial" w:cs="Arial"/>
        </w:rPr>
        <w:t xml:space="preserve">offline </w:t>
      </w:r>
      <w:r w:rsidR="00C15740">
        <w:rPr>
          <w:rFonts w:ascii="Arial" w:hAnsi="Arial" w:cs="Arial"/>
        </w:rPr>
        <w:t>discussion</w:t>
      </w:r>
      <w:r>
        <w:rPr>
          <w:rFonts w:ascii="Arial" w:hAnsi="Arial" w:cs="Arial"/>
        </w:rPr>
        <w:t xml:space="preserve"> [110] was the following:</w:t>
      </w:r>
    </w:p>
    <w:p w14:paraId="06F4CEDC" w14:textId="77777777" w:rsidR="00B44200" w:rsidRDefault="00B44200" w:rsidP="00097035">
      <w:pPr>
        <w:pStyle w:val="Comments"/>
        <w:ind w:left="567"/>
        <w:jc w:val="both"/>
      </w:pPr>
      <w:r>
        <w:t>Proposal 7: RAN2 use Option 1, for the gNB/cell supporting RedCap UE case, introduce below for 1RX and 2RX RedCap UE respectively:</w:t>
      </w:r>
    </w:p>
    <w:p w14:paraId="78B073C2" w14:textId="77777777" w:rsidR="00B44200" w:rsidRDefault="00B44200" w:rsidP="00097035">
      <w:pPr>
        <w:pStyle w:val="Comments"/>
        <w:ind w:left="567"/>
        <w:jc w:val="both"/>
      </w:pPr>
      <w:r>
        <w:t>Option 1: two mandatory IEs in SIB1 with {barred, notBarred} present for gNB/cell supporting RedCap [15]</w:t>
      </w:r>
    </w:p>
    <w:p w14:paraId="2455CF44" w14:textId="0AFD2BDD" w:rsidR="00B44200" w:rsidRDefault="00B44200" w:rsidP="00097035">
      <w:pPr>
        <w:pStyle w:val="Comments"/>
        <w:ind w:left="567"/>
        <w:jc w:val="both"/>
      </w:pPr>
      <w:r>
        <w:t>Option 2: two optional IEs in SIB1 with {barred} [2]</w:t>
      </w:r>
    </w:p>
    <w:p w14:paraId="2D886DB1" w14:textId="77777777" w:rsidR="00B44200" w:rsidRDefault="00B44200" w:rsidP="00097035">
      <w:pPr>
        <w:pStyle w:val="Comments"/>
        <w:jc w:val="both"/>
      </w:pPr>
    </w:p>
    <w:p w14:paraId="6EB2FE42" w14:textId="5198096D" w:rsidR="00D90355" w:rsidRPr="00506954" w:rsidRDefault="00506954" w:rsidP="00097035">
      <w:pPr>
        <w:jc w:val="both"/>
        <w:rPr>
          <w:rFonts w:ascii="Arial" w:hAnsi="Arial" w:cs="Arial"/>
          <w:i/>
          <w:iCs/>
        </w:rPr>
      </w:pPr>
      <w:r>
        <w:rPr>
          <w:rFonts w:ascii="Arial" w:hAnsi="Arial" w:cs="Arial"/>
        </w:rPr>
        <w:t>With the current agreement there a</w:t>
      </w:r>
      <w:r w:rsidR="00D67C9C">
        <w:rPr>
          <w:rFonts w:ascii="Arial" w:hAnsi="Arial" w:cs="Arial"/>
        </w:rPr>
        <w:t>re</w:t>
      </w:r>
      <w:r>
        <w:rPr>
          <w:rFonts w:ascii="Arial" w:hAnsi="Arial" w:cs="Arial"/>
        </w:rPr>
        <w:t xml:space="preserve"> several factors which should be checked by RedCap UEs to determine if the cell is barred. Our view of these f</w:t>
      </w:r>
      <w:r w:rsidR="00D90355">
        <w:rPr>
          <w:rFonts w:ascii="Arial" w:hAnsi="Arial" w:cs="Arial"/>
        </w:rPr>
        <w:t xml:space="preserve">actors </w:t>
      </w:r>
      <w:r w:rsidR="009E54AF">
        <w:rPr>
          <w:rFonts w:ascii="Arial" w:hAnsi="Arial" w:cs="Arial"/>
        </w:rPr>
        <w:t>is</w:t>
      </w:r>
      <w:r>
        <w:rPr>
          <w:rFonts w:ascii="Arial" w:hAnsi="Arial" w:cs="Arial"/>
        </w:rPr>
        <w:t xml:space="preserve"> listed below</w:t>
      </w:r>
      <w:r w:rsidR="0035709E">
        <w:rPr>
          <w:rFonts w:ascii="Arial" w:hAnsi="Arial" w:cs="Arial"/>
        </w:rPr>
        <w:t xml:space="preserve">, in priority order, and </w:t>
      </w:r>
      <w:r>
        <w:rPr>
          <w:rFonts w:ascii="Arial" w:hAnsi="Arial" w:cs="Arial"/>
        </w:rPr>
        <w:t xml:space="preserve">with </w:t>
      </w:r>
      <w:r w:rsidR="0035709E">
        <w:rPr>
          <w:rFonts w:ascii="Arial" w:hAnsi="Arial" w:cs="Arial"/>
        </w:rPr>
        <w:t xml:space="preserve">intended </w:t>
      </w:r>
      <w:r w:rsidR="0035709E" w:rsidRPr="0035709E">
        <w:rPr>
          <w:rFonts w:ascii="Arial" w:hAnsi="Arial" w:cs="Arial"/>
          <w:i/>
          <w:iCs/>
        </w:rPr>
        <w:t>RedCap UE behaviour</w:t>
      </w:r>
      <w:r w:rsidR="00D90355" w:rsidRPr="00506954">
        <w:rPr>
          <w:rFonts w:ascii="Arial" w:hAnsi="Arial" w:cs="Arial"/>
          <w:i/>
          <w:iCs/>
        </w:rPr>
        <w:t>:</w:t>
      </w:r>
    </w:p>
    <w:p w14:paraId="38260241" w14:textId="2EF46966" w:rsidR="0035709E" w:rsidRPr="007D5698" w:rsidRDefault="0035709E" w:rsidP="00097035">
      <w:pPr>
        <w:pStyle w:val="ListParagraph"/>
        <w:numPr>
          <w:ilvl w:val="0"/>
          <w:numId w:val="38"/>
        </w:numPr>
        <w:jc w:val="both"/>
        <w:rPr>
          <w:rFonts w:ascii="Arial" w:hAnsi="Arial" w:cs="Arial"/>
          <w:sz w:val="20"/>
          <w:szCs w:val="20"/>
        </w:rPr>
      </w:pPr>
      <w:r w:rsidRPr="007D5698">
        <w:rPr>
          <w:rFonts w:ascii="Arial" w:hAnsi="Arial" w:cs="Arial"/>
          <w:sz w:val="20"/>
          <w:szCs w:val="20"/>
          <w:lang w:val="sv-SE"/>
        </w:rPr>
        <w:t>Legacy MIB</w:t>
      </w:r>
      <w:r w:rsidR="00EA724D">
        <w:rPr>
          <w:rFonts w:ascii="Arial" w:hAnsi="Arial" w:cs="Arial"/>
          <w:sz w:val="20"/>
          <w:szCs w:val="20"/>
          <w:lang w:val="sv-SE"/>
        </w:rPr>
        <w:t xml:space="preserve"> barring</w:t>
      </w:r>
    </w:p>
    <w:p w14:paraId="114B517D" w14:textId="36BC55BB" w:rsidR="0035709E" w:rsidRPr="007D5698" w:rsidRDefault="0035709E" w:rsidP="00097035">
      <w:pPr>
        <w:pStyle w:val="ListParagraph"/>
        <w:numPr>
          <w:ilvl w:val="1"/>
          <w:numId w:val="37"/>
        </w:numPr>
        <w:jc w:val="both"/>
        <w:rPr>
          <w:rFonts w:ascii="Arial" w:hAnsi="Arial" w:cs="Arial"/>
          <w:sz w:val="20"/>
          <w:szCs w:val="20"/>
        </w:rPr>
      </w:pPr>
      <w:r w:rsidRPr="007D5698">
        <w:rPr>
          <w:rFonts w:ascii="Arial" w:hAnsi="Arial" w:cs="Arial"/>
          <w:sz w:val="20"/>
          <w:szCs w:val="20"/>
        </w:rPr>
        <w:t xml:space="preserve">Legacy </w:t>
      </w:r>
      <w:r w:rsidRPr="00097035">
        <w:rPr>
          <w:rFonts w:ascii="Arial" w:hAnsi="Arial" w:cs="Arial"/>
          <w:sz w:val="20"/>
          <w:szCs w:val="20"/>
          <w:lang w:val="en-GB"/>
        </w:rPr>
        <w:t xml:space="preserve">cellbarring indication </w:t>
      </w:r>
      <w:r w:rsidRPr="007D5698">
        <w:rPr>
          <w:rFonts w:ascii="Arial" w:hAnsi="Arial" w:cs="Arial"/>
          <w:sz w:val="20"/>
          <w:szCs w:val="20"/>
        </w:rPr>
        <w:t>MIB</w:t>
      </w:r>
      <w:r w:rsidRPr="00097035">
        <w:rPr>
          <w:rFonts w:ascii="Arial" w:hAnsi="Arial" w:cs="Arial"/>
          <w:sz w:val="20"/>
          <w:szCs w:val="20"/>
          <w:lang w:val="en-GB"/>
        </w:rPr>
        <w:t xml:space="preserve"> set to </w:t>
      </w:r>
      <w:r w:rsidR="00393518" w:rsidRPr="00097035">
        <w:rPr>
          <w:rFonts w:ascii="Arial" w:hAnsi="Arial" w:cs="Arial"/>
          <w:sz w:val="20"/>
          <w:szCs w:val="20"/>
          <w:lang w:val="en-GB"/>
        </w:rPr>
        <w:t>value ’</w:t>
      </w:r>
      <w:r w:rsidRPr="00097035">
        <w:rPr>
          <w:rFonts w:ascii="Arial" w:hAnsi="Arial" w:cs="Arial"/>
          <w:sz w:val="20"/>
          <w:szCs w:val="20"/>
          <w:lang w:val="en-GB"/>
        </w:rPr>
        <w:t>true</w:t>
      </w:r>
      <w:r w:rsidR="00393518" w:rsidRPr="00097035">
        <w:rPr>
          <w:rFonts w:ascii="Arial" w:hAnsi="Arial" w:cs="Arial"/>
          <w:sz w:val="20"/>
          <w:szCs w:val="20"/>
          <w:lang w:val="en-GB"/>
        </w:rPr>
        <w:t>’</w:t>
      </w:r>
    </w:p>
    <w:p w14:paraId="3D6A6A4F" w14:textId="0FFEF678" w:rsidR="0035709E" w:rsidRPr="00E8041E" w:rsidRDefault="0035709E" w:rsidP="00097035">
      <w:pPr>
        <w:pStyle w:val="ListParagraph"/>
        <w:numPr>
          <w:ilvl w:val="1"/>
          <w:numId w:val="37"/>
        </w:numPr>
        <w:jc w:val="both"/>
        <w:rPr>
          <w:rFonts w:ascii="Arial" w:hAnsi="Arial" w:cs="Arial"/>
          <w:sz w:val="20"/>
          <w:szCs w:val="20"/>
        </w:rPr>
      </w:pPr>
      <w:r w:rsidRPr="00097035">
        <w:rPr>
          <w:rFonts w:ascii="Arial" w:hAnsi="Arial" w:cs="Arial"/>
          <w:i/>
          <w:sz w:val="20"/>
          <w:szCs w:val="20"/>
          <w:lang w:val="en-GB"/>
        </w:rPr>
        <w:t>Consider the cell as barred</w:t>
      </w:r>
      <w:r w:rsidRPr="00097035">
        <w:rPr>
          <w:rFonts w:ascii="Arial" w:hAnsi="Arial" w:cs="Arial"/>
          <w:sz w:val="20"/>
          <w:szCs w:val="20"/>
          <w:lang w:val="en-GB"/>
        </w:rPr>
        <w:t xml:space="preserve"> </w:t>
      </w:r>
      <w:r w:rsidR="004A6B27" w:rsidRPr="00097035">
        <w:rPr>
          <w:rFonts w:ascii="Arial" w:hAnsi="Arial" w:cs="Arial"/>
          <w:color w:val="00B050"/>
          <w:sz w:val="20"/>
          <w:szCs w:val="20"/>
          <w:lang w:val="en-GB"/>
        </w:rPr>
        <w:t>[</w:t>
      </w:r>
      <w:r w:rsidRPr="00097035">
        <w:rPr>
          <w:rFonts w:ascii="Arial" w:hAnsi="Arial" w:cs="Arial"/>
          <w:color w:val="00B050"/>
          <w:sz w:val="20"/>
          <w:szCs w:val="20"/>
          <w:lang w:val="en-GB"/>
        </w:rPr>
        <w:t>agreed</w:t>
      </w:r>
      <w:r w:rsidR="004A6B27" w:rsidRPr="00097035">
        <w:rPr>
          <w:rFonts w:ascii="Arial" w:hAnsi="Arial" w:cs="Arial"/>
          <w:color w:val="00B050"/>
          <w:sz w:val="20"/>
          <w:szCs w:val="20"/>
          <w:lang w:val="en-GB"/>
        </w:rPr>
        <w:t>]</w:t>
      </w:r>
    </w:p>
    <w:p w14:paraId="7D09C915" w14:textId="77777777" w:rsidR="00393518" w:rsidRPr="00393518" w:rsidRDefault="00393518" w:rsidP="00097035">
      <w:pPr>
        <w:pStyle w:val="ListParagraph"/>
        <w:numPr>
          <w:ilvl w:val="1"/>
          <w:numId w:val="37"/>
        </w:numPr>
        <w:ind w:left="1434" w:hanging="357"/>
        <w:jc w:val="both"/>
        <w:rPr>
          <w:rFonts w:ascii="Arial" w:hAnsi="Arial" w:cs="Arial"/>
          <w:sz w:val="20"/>
          <w:szCs w:val="20"/>
        </w:rPr>
      </w:pPr>
      <w:r w:rsidRPr="00097035">
        <w:rPr>
          <w:rFonts w:ascii="Arial" w:hAnsi="Arial" w:cs="Arial"/>
          <w:sz w:val="20"/>
          <w:szCs w:val="20"/>
          <w:lang w:val="en-GB"/>
        </w:rPr>
        <w:t>If RedCap IFRI in SIB1 is present</w:t>
      </w:r>
    </w:p>
    <w:p w14:paraId="56FB9C09" w14:textId="6BBCAB96" w:rsidR="0035709E" w:rsidRPr="00393518" w:rsidRDefault="00393518" w:rsidP="00097035">
      <w:pPr>
        <w:pStyle w:val="ListParagraph"/>
        <w:numPr>
          <w:ilvl w:val="2"/>
          <w:numId w:val="37"/>
        </w:numPr>
        <w:ind w:left="2154" w:hanging="357"/>
        <w:jc w:val="both"/>
        <w:rPr>
          <w:rFonts w:ascii="Arial" w:hAnsi="Arial" w:cs="Arial"/>
          <w:i/>
          <w:iCs/>
          <w:sz w:val="20"/>
          <w:szCs w:val="20"/>
        </w:rPr>
      </w:pPr>
      <w:r w:rsidRPr="00097035">
        <w:rPr>
          <w:rFonts w:ascii="Arial" w:hAnsi="Arial" w:cs="Arial"/>
          <w:i/>
          <w:sz w:val="20"/>
          <w:szCs w:val="20"/>
          <w:lang w:val="en-GB"/>
        </w:rPr>
        <w:t>Apply RedCap IFRI in SIB1</w:t>
      </w:r>
      <w:r w:rsidR="007D5698" w:rsidRPr="00097035">
        <w:rPr>
          <w:rFonts w:ascii="Arial" w:hAnsi="Arial" w:cs="Arial"/>
          <w:i/>
          <w:sz w:val="20"/>
          <w:szCs w:val="20"/>
          <w:lang w:val="en-GB"/>
        </w:rPr>
        <w:t xml:space="preserve"> </w:t>
      </w:r>
      <w:r w:rsidR="00F87769" w:rsidRPr="00097035">
        <w:rPr>
          <w:rFonts w:ascii="Arial" w:hAnsi="Arial" w:cs="Arial"/>
          <w:color w:val="00B050"/>
          <w:sz w:val="20"/>
          <w:szCs w:val="20"/>
          <w:lang w:val="en-GB"/>
        </w:rPr>
        <w:t>[agreed]</w:t>
      </w:r>
    </w:p>
    <w:p w14:paraId="6A66352C" w14:textId="320270A9" w:rsidR="00393518" w:rsidRPr="00393518" w:rsidRDefault="00393518" w:rsidP="00097035">
      <w:pPr>
        <w:pStyle w:val="ListParagraph"/>
        <w:numPr>
          <w:ilvl w:val="1"/>
          <w:numId w:val="37"/>
        </w:numPr>
        <w:ind w:left="1434" w:hanging="357"/>
        <w:jc w:val="both"/>
        <w:rPr>
          <w:rFonts w:ascii="Arial" w:hAnsi="Arial" w:cs="Arial"/>
          <w:sz w:val="20"/>
          <w:szCs w:val="20"/>
        </w:rPr>
      </w:pPr>
      <w:r>
        <w:rPr>
          <w:rFonts w:ascii="Arial" w:hAnsi="Arial" w:cs="Arial"/>
          <w:sz w:val="20"/>
          <w:szCs w:val="20"/>
          <w:lang w:val="sv-SE"/>
        </w:rPr>
        <w:t>else</w:t>
      </w:r>
    </w:p>
    <w:p w14:paraId="1135B521" w14:textId="18C36C2F" w:rsidR="00393518" w:rsidRPr="00393518" w:rsidRDefault="00393518" w:rsidP="00097035">
      <w:pPr>
        <w:pStyle w:val="ListParagraph"/>
        <w:numPr>
          <w:ilvl w:val="2"/>
          <w:numId w:val="37"/>
        </w:numPr>
        <w:spacing w:after="120"/>
        <w:jc w:val="both"/>
        <w:rPr>
          <w:rFonts w:ascii="Arial" w:hAnsi="Arial" w:cs="Arial"/>
          <w:i/>
          <w:iCs/>
          <w:sz w:val="20"/>
          <w:szCs w:val="20"/>
        </w:rPr>
      </w:pPr>
      <w:r w:rsidRPr="00097035">
        <w:rPr>
          <w:rFonts w:ascii="Arial" w:hAnsi="Arial" w:cs="Arial"/>
          <w:i/>
          <w:sz w:val="20"/>
          <w:szCs w:val="20"/>
          <w:lang w:val="en-GB"/>
        </w:rPr>
        <w:t xml:space="preserve">Apply legacy IFRI in MIB </w:t>
      </w:r>
      <w:r w:rsidRPr="00097035">
        <w:rPr>
          <w:rFonts w:ascii="Arial" w:hAnsi="Arial" w:cs="Arial"/>
          <w:color w:val="FF0000"/>
          <w:sz w:val="20"/>
          <w:szCs w:val="20"/>
          <w:lang w:val="en-GB"/>
        </w:rPr>
        <w:t>[open</w:t>
      </w:r>
      <w:r w:rsidR="00256F6E" w:rsidRPr="00097035">
        <w:rPr>
          <w:rFonts w:ascii="Arial" w:hAnsi="Arial" w:cs="Arial"/>
          <w:color w:val="FF0000"/>
          <w:sz w:val="20"/>
          <w:szCs w:val="20"/>
          <w:lang w:val="en-GB"/>
        </w:rPr>
        <w:t xml:space="preserve"> issue 1</w:t>
      </w:r>
      <w:r w:rsidRPr="00097035">
        <w:rPr>
          <w:rFonts w:ascii="Arial" w:hAnsi="Arial" w:cs="Arial"/>
          <w:color w:val="FF0000"/>
          <w:sz w:val="20"/>
          <w:szCs w:val="20"/>
          <w:lang w:val="en-GB"/>
        </w:rPr>
        <w:t>]</w:t>
      </w:r>
    </w:p>
    <w:p w14:paraId="182745EE" w14:textId="00D5CE13" w:rsidR="007D5698" w:rsidRPr="007D5698" w:rsidRDefault="00D90355" w:rsidP="00097035">
      <w:pPr>
        <w:pStyle w:val="ListParagraph"/>
        <w:numPr>
          <w:ilvl w:val="0"/>
          <w:numId w:val="38"/>
        </w:numPr>
        <w:jc w:val="both"/>
        <w:rPr>
          <w:rFonts w:ascii="Arial" w:hAnsi="Arial" w:cs="Arial"/>
          <w:sz w:val="20"/>
          <w:szCs w:val="20"/>
        </w:rPr>
      </w:pPr>
      <w:r w:rsidRPr="007D5698">
        <w:rPr>
          <w:rFonts w:ascii="Arial" w:hAnsi="Arial" w:cs="Arial"/>
          <w:sz w:val="20"/>
          <w:szCs w:val="20"/>
        </w:rPr>
        <w:t>RedCap configuration</w:t>
      </w:r>
      <w:r w:rsidR="00EA724D">
        <w:rPr>
          <w:rFonts w:ascii="Arial" w:hAnsi="Arial" w:cs="Arial"/>
          <w:sz w:val="20"/>
          <w:szCs w:val="20"/>
          <w:lang w:val="sv-SE"/>
        </w:rPr>
        <w:t xml:space="preserve"> absent</w:t>
      </w:r>
    </w:p>
    <w:p w14:paraId="6A041BC3" w14:textId="112B9AB6" w:rsidR="00D90355" w:rsidRPr="007D5698" w:rsidRDefault="007D5698" w:rsidP="00097035">
      <w:pPr>
        <w:pStyle w:val="ListParagraph"/>
        <w:numPr>
          <w:ilvl w:val="1"/>
          <w:numId w:val="37"/>
        </w:numPr>
        <w:jc w:val="both"/>
        <w:rPr>
          <w:rFonts w:ascii="Arial" w:hAnsi="Arial" w:cs="Arial"/>
          <w:sz w:val="20"/>
          <w:szCs w:val="20"/>
        </w:rPr>
      </w:pPr>
      <w:r w:rsidRPr="007D5698">
        <w:rPr>
          <w:rFonts w:ascii="Arial" w:hAnsi="Arial" w:cs="Arial"/>
          <w:sz w:val="20"/>
          <w:szCs w:val="20"/>
        </w:rPr>
        <w:t>RedCap configuration</w:t>
      </w:r>
      <w:r w:rsidRPr="00097035">
        <w:rPr>
          <w:rFonts w:ascii="Arial" w:hAnsi="Arial" w:cs="Arial"/>
          <w:sz w:val="20"/>
          <w:szCs w:val="20"/>
          <w:lang w:val="en-GB"/>
        </w:rPr>
        <w:t xml:space="preserve"> absent </w:t>
      </w:r>
      <w:r w:rsidR="00D90355" w:rsidRPr="007D5698">
        <w:rPr>
          <w:rFonts w:ascii="Arial" w:hAnsi="Arial" w:cs="Arial"/>
          <w:sz w:val="20"/>
          <w:szCs w:val="20"/>
        </w:rPr>
        <w:t>in SI</w:t>
      </w:r>
      <w:r w:rsidRPr="00097035">
        <w:rPr>
          <w:rFonts w:ascii="Arial" w:hAnsi="Arial" w:cs="Arial"/>
          <w:sz w:val="20"/>
          <w:szCs w:val="20"/>
          <w:lang w:val="en-GB"/>
        </w:rPr>
        <w:t>, e.g. in legacy gNB</w:t>
      </w:r>
    </w:p>
    <w:p w14:paraId="7A814CE5" w14:textId="3ADE29AA" w:rsidR="007D5698" w:rsidRPr="007D5698" w:rsidRDefault="007D5698" w:rsidP="00097035">
      <w:pPr>
        <w:pStyle w:val="ListParagraph"/>
        <w:numPr>
          <w:ilvl w:val="1"/>
          <w:numId w:val="37"/>
        </w:numPr>
        <w:jc w:val="both"/>
        <w:rPr>
          <w:rFonts w:ascii="Arial" w:hAnsi="Arial" w:cs="Arial"/>
          <w:sz w:val="20"/>
          <w:szCs w:val="20"/>
        </w:rPr>
      </w:pPr>
      <w:r w:rsidRPr="007D5698">
        <w:rPr>
          <w:rFonts w:ascii="Arial" w:hAnsi="Arial" w:cs="Arial"/>
          <w:i/>
          <w:iCs/>
          <w:sz w:val="20"/>
          <w:szCs w:val="20"/>
          <w:lang w:val="sv-SE"/>
        </w:rPr>
        <w:t>Consider the cell as barred</w:t>
      </w:r>
      <w:r w:rsidRPr="007D5698">
        <w:rPr>
          <w:rFonts w:ascii="Arial" w:hAnsi="Arial" w:cs="Arial"/>
          <w:sz w:val="20"/>
          <w:szCs w:val="20"/>
          <w:lang w:val="sv-SE"/>
        </w:rPr>
        <w:t xml:space="preserve"> </w:t>
      </w:r>
    </w:p>
    <w:p w14:paraId="50DAF1F6" w14:textId="1C1A1839" w:rsidR="007D5698" w:rsidRPr="007D5698" w:rsidRDefault="007D5698" w:rsidP="00097035">
      <w:pPr>
        <w:pStyle w:val="ListParagraph"/>
        <w:numPr>
          <w:ilvl w:val="1"/>
          <w:numId w:val="37"/>
        </w:numPr>
        <w:spacing w:after="120"/>
        <w:ind w:left="1434" w:hanging="357"/>
        <w:jc w:val="both"/>
        <w:rPr>
          <w:rFonts w:ascii="Arial" w:hAnsi="Arial" w:cs="Arial"/>
          <w:i/>
          <w:iCs/>
          <w:sz w:val="20"/>
          <w:szCs w:val="20"/>
        </w:rPr>
      </w:pPr>
      <w:r w:rsidRPr="00097035">
        <w:rPr>
          <w:rFonts w:ascii="Arial" w:hAnsi="Arial" w:cs="Arial"/>
          <w:i/>
          <w:sz w:val="20"/>
          <w:szCs w:val="20"/>
          <w:lang w:val="en-GB"/>
        </w:rPr>
        <w:t>Apply legacy IFRI in MIB</w:t>
      </w:r>
      <w:r w:rsidR="00AD4981" w:rsidRPr="00097035">
        <w:rPr>
          <w:rFonts w:ascii="Arial" w:hAnsi="Arial" w:cs="Arial"/>
          <w:i/>
          <w:sz w:val="20"/>
          <w:szCs w:val="20"/>
          <w:lang w:val="en-GB"/>
        </w:rPr>
        <w:t xml:space="preserve"> </w:t>
      </w:r>
      <w:r w:rsidR="00AD4981" w:rsidRPr="00097035">
        <w:rPr>
          <w:rFonts w:ascii="Arial" w:hAnsi="Arial" w:cs="Arial"/>
          <w:color w:val="FF0000"/>
          <w:sz w:val="20"/>
          <w:szCs w:val="20"/>
          <w:lang w:val="en-GB"/>
        </w:rPr>
        <w:t>[open</w:t>
      </w:r>
      <w:r w:rsidR="00256F6E" w:rsidRPr="00097035">
        <w:rPr>
          <w:rFonts w:ascii="Arial" w:hAnsi="Arial" w:cs="Arial"/>
          <w:color w:val="FF0000"/>
          <w:sz w:val="20"/>
          <w:szCs w:val="20"/>
          <w:lang w:val="en-GB"/>
        </w:rPr>
        <w:t xml:space="preserve"> issue 2</w:t>
      </w:r>
      <w:r w:rsidR="00AD4981" w:rsidRPr="00097035">
        <w:rPr>
          <w:rFonts w:ascii="Arial" w:hAnsi="Arial" w:cs="Arial"/>
          <w:color w:val="FF0000"/>
          <w:sz w:val="20"/>
          <w:szCs w:val="20"/>
          <w:lang w:val="en-GB"/>
        </w:rPr>
        <w:t>]</w:t>
      </w:r>
    </w:p>
    <w:p w14:paraId="55204E37" w14:textId="200B4276" w:rsidR="00D90355" w:rsidRPr="007D5698" w:rsidRDefault="004402D0" w:rsidP="00097035">
      <w:pPr>
        <w:pStyle w:val="ListParagraph"/>
        <w:numPr>
          <w:ilvl w:val="0"/>
          <w:numId w:val="38"/>
        </w:numPr>
        <w:jc w:val="both"/>
        <w:rPr>
          <w:rFonts w:ascii="Arial" w:hAnsi="Arial" w:cs="Arial"/>
          <w:sz w:val="20"/>
          <w:szCs w:val="20"/>
        </w:rPr>
      </w:pPr>
      <w:r w:rsidRPr="007D5698">
        <w:rPr>
          <w:rFonts w:ascii="Arial" w:hAnsi="Arial" w:cs="Arial"/>
          <w:sz w:val="20"/>
          <w:szCs w:val="20"/>
          <w:lang w:val="sv-SE"/>
        </w:rPr>
        <w:t xml:space="preserve">RedCap </w:t>
      </w:r>
      <w:r w:rsidR="00D90355" w:rsidRPr="007D5698">
        <w:rPr>
          <w:rFonts w:ascii="Arial" w:hAnsi="Arial" w:cs="Arial"/>
          <w:sz w:val="20"/>
          <w:szCs w:val="20"/>
          <w:lang w:val="sv-SE"/>
        </w:rPr>
        <w:t>IFRI absent</w:t>
      </w:r>
      <w:r w:rsidRPr="007D5698">
        <w:rPr>
          <w:rFonts w:ascii="Arial" w:hAnsi="Arial" w:cs="Arial"/>
          <w:sz w:val="20"/>
          <w:szCs w:val="20"/>
          <w:lang w:val="sv-SE"/>
        </w:rPr>
        <w:t xml:space="preserve"> in SIB1</w:t>
      </w:r>
    </w:p>
    <w:p w14:paraId="6B0179DD" w14:textId="32F7B9C0" w:rsidR="007D5698" w:rsidRPr="007D5698" w:rsidRDefault="007D5698" w:rsidP="00097035">
      <w:pPr>
        <w:pStyle w:val="ListParagraph"/>
        <w:numPr>
          <w:ilvl w:val="1"/>
          <w:numId w:val="37"/>
        </w:numPr>
        <w:jc w:val="both"/>
        <w:rPr>
          <w:rFonts w:ascii="Arial" w:hAnsi="Arial" w:cs="Arial"/>
          <w:sz w:val="20"/>
          <w:szCs w:val="20"/>
        </w:rPr>
      </w:pPr>
      <w:r w:rsidRPr="00097035">
        <w:rPr>
          <w:rFonts w:ascii="Arial" w:hAnsi="Arial" w:cs="Arial"/>
          <w:sz w:val="20"/>
          <w:szCs w:val="20"/>
          <w:lang w:val="en-GB"/>
        </w:rPr>
        <w:t>RedCap configuration present in SIB1, but not RedCap specif IFRI.</w:t>
      </w:r>
    </w:p>
    <w:p w14:paraId="649DBEB5" w14:textId="1E4DD5AF" w:rsidR="007D5698" w:rsidRPr="00AA44D0" w:rsidRDefault="007D5698" w:rsidP="00097035">
      <w:pPr>
        <w:pStyle w:val="ListParagraph"/>
        <w:numPr>
          <w:ilvl w:val="1"/>
          <w:numId w:val="37"/>
        </w:numPr>
        <w:jc w:val="both"/>
        <w:rPr>
          <w:rFonts w:ascii="Arial" w:hAnsi="Arial" w:cs="Arial"/>
          <w:sz w:val="20"/>
          <w:szCs w:val="20"/>
        </w:rPr>
      </w:pPr>
      <w:r w:rsidRPr="00097035">
        <w:rPr>
          <w:rFonts w:ascii="Arial" w:hAnsi="Arial" w:cs="Arial"/>
          <w:i/>
          <w:sz w:val="20"/>
          <w:szCs w:val="20"/>
          <w:lang w:val="en-GB"/>
        </w:rPr>
        <w:t xml:space="preserve">Consider ”the cell does not support RedCap” </w:t>
      </w:r>
      <w:r w:rsidRPr="00097035">
        <w:rPr>
          <w:rFonts w:ascii="Arial" w:hAnsi="Arial" w:cs="Arial"/>
          <w:sz w:val="20"/>
          <w:szCs w:val="20"/>
          <w:lang w:val="en-GB"/>
        </w:rPr>
        <w:t>(same as cell barring in our view).</w:t>
      </w:r>
    </w:p>
    <w:p w14:paraId="2B0B5E9C" w14:textId="44F1E631" w:rsidR="00AA44D0" w:rsidRPr="007D5698" w:rsidRDefault="00AA44D0" w:rsidP="00097035">
      <w:pPr>
        <w:pStyle w:val="ListParagraph"/>
        <w:numPr>
          <w:ilvl w:val="1"/>
          <w:numId w:val="37"/>
        </w:numPr>
        <w:spacing w:after="120"/>
        <w:ind w:left="1434" w:hanging="357"/>
        <w:jc w:val="both"/>
        <w:rPr>
          <w:rFonts w:ascii="Arial" w:hAnsi="Arial" w:cs="Arial"/>
          <w:sz w:val="20"/>
          <w:szCs w:val="20"/>
        </w:rPr>
      </w:pPr>
      <w:r w:rsidRPr="00097035">
        <w:rPr>
          <w:rFonts w:ascii="Arial" w:hAnsi="Arial" w:cs="Arial"/>
          <w:i/>
          <w:sz w:val="20"/>
          <w:szCs w:val="20"/>
          <w:lang w:val="en-GB"/>
        </w:rPr>
        <w:t xml:space="preserve">Apply legacy IFRI in MIB </w:t>
      </w:r>
      <w:r w:rsidR="00FD77DA" w:rsidRPr="00097035">
        <w:rPr>
          <w:rFonts w:ascii="Arial" w:hAnsi="Arial" w:cs="Arial"/>
          <w:color w:val="FF0000"/>
          <w:sz w:val="20"/>
          <w:szCs w:val="20"/>
          <w:lang w:val="en-GB"/>
        </w:rPr>
        <w:t>[open</w:t>
      </w:r>
      <w:r w:rsidR="00256F6E" w:rsidRPr="00097035">
        <w:rPr>
          <w:rFonts w:ascii="Arial" w:hAnsi="Arial" w:cs="Arial"/>
          <w:color w:val="FF0000"/>
          <w:sz w:val="20"/>
          <w:szCs w:val="20"/>
          <w:lang w:val="en-GB"/>
        </w:rPr>
        <w:t xml:space="preserve"> issue 3</w:t>
      </w:r>
      <w:r w:rsidR="00FD77DA" w:rsidRPr="00097035">
        <w:rPr>
          <w:rFonts w:ascii="Arial" w:hAnsi="Arial" w:cs="Arial"/>
          <w:color w:val="FF0000"/>
          <w:sz w:val="20"/>
          <w:szCs w:val="20"/>
          <w:lang w:val="en-GB"/>
        </w:rPr>
        <w:t>]</w:t>
      </w:r>
    </w:p>
    <w:p w14:paraId="3D0225EC" w14:textId="198A4E16" w:rsidR="00D90355" w:rsidRPr="004A6B27" w:rsidRDefault="00D90355" w:rsidP="00097035">
      <w:pPr>
        <w:pStyle w:val="ListParagraph"/>
        <w:numPr>
          <w:ilvl w:val="0"/>
          <w:numId w:val="38"/>
        </w:numPr>
        <w:jc w:val="both"/>
        <w:rPr>
          <w:rFonts w:ascii="Arial" w:hAnsi="Arial" w:cs="Arial"/>
          <w:sz w:val="20"/>
          <w:szCs w:val="20"/>
        </w:rPr>
      </w:pPr>
      <w:r w:rsidRPr="007D5698">
        <w:rPr>
          <w:rFonts w:ascii="Arial" w:hAnsi="Arial" w:cs="Arial"/>
          <w:sz w:val="20"/>
          <w:szCs w:val="20"/>
          <w:lang w:val="sv-SE"/>
        </w:rPr>
        <w:t>1 Rx chain RedCap barring indication</w:t>
      </w:r>
    </w:p>
    <w:p w14:paraId="69E26354" w14:textId="15F1BCB8" w:rsidR="004A6B27" w:rsidRPr="004A6B27" w:rsidRDefault="004A6B27" w:rsidP="00097035">
      <w:pPr>
        <w:pStyle w:val="ListParagraph"/>
        <w:numPr>
          <w:ilvl w:val="1"/>
          <w:numId w:val="37"/>
        </w:numPr>
        <w:jc w:val="both"/>
        <w:rPr>
          <w:rFonts w:ascii="Arial" w:hAnsi="Arial" w:cs="Arial"/>
          <w:sz w:val="20"/>
          <w:szCs w:val="20"/>
        </w:rPr>
      </w:pPr>
      <w:r>
        <w:rPr>
          <w:rFonts w:ascii="Arial" w:hAnsi="Arial" w:cs="Arial"/>
          <w:sz w:val="20"/>
          <w:szCs w:val="20"/>
          <w:lang w:val="sv-SE"/>
        </w:rPr>
        <w:t>If UE has 1 Rx chain</w:t>
      </w:r>
    </w:p>
    <w:p w14:paraId="6BF8EB77" w14:textId="77777777" w:rsidR="004A6B27" w:rsidRPr="007D5698" w:rsidRDefault="004A6B27" w:rsidP="00097035">
      <w:pPr>
        <w:pStyle w:val="ListParagraph"/>
        <w:numPr>
          <w:ilvl w:val="2"/>
          <w:numId w:val="37"/>
        </w:numPr>
        <w:jc w:val="both"/>
        <w:rPr>
          <w:rFonts w:ascii="Arial" w:hAnsi="Arial" w:cs="Arial"/>
          <w:sz w:val="20"/>
          <w:szCs w:val="20"/>
        </w:rPr>
      </w:pPr>
      <w:r w:rsidRPr="007D5698">
        <w:rPr>
          <w:rFonts w:ascii="Arial" w:hAnsi="Arial" w:cs="Arial"/>
          <w:i/>
          <w:iCs/>
          <w:sz w:val="20"/>
          <w:szCs w:val="20"/>
          <w:lang w:val="sv-SE"/>
        </w:rPr>
        <w:t>Consider the cell as barred</w:t>
      </w:r>
      <w:r w:rsidRPr="007D5698">
        <w:rPr>
          <w:rFonts w:ascii="Arial" w:hAnsi="Arial" w:cs="Arial"/>
          <w:sz w:val="20"/>
          <w:szCs w:val="20"/>
          <w:lang w:val="sv-SE"/>
        </w:rPr>
        <w:t xml:space="preserve"> </w:t>
      </w:r>
    </w:p>
    <w:p w14:paraId="75E1A161" w14:textId="28EDE0D4" w:rsidR="004A6B27" w:rsidRPr="004A6B27" w:rsidRDefault="004A6B27" w:rsidP="00097035">
      <w:pPr>
        <w:pStyle w:val="ListParagraph"/>
        <w:numPr>
          <w:ilvl w:val="2"/>
          <w:numId w:val="37"/>
        </w:numPr>
        <w:spacing w:after="120"/>
        <w:ind w:left="2154" w:hanging="357"/>
        <w:jc w:val="both"/>
        <w:rPr>
          <w:rFonts w:ascii="Arial" w:hAnsi="Arial" w:cs="Arial"/>
          <w:i/>
          <w:iCs/>
          <w:sz w:val="20"/>
          <w:szCs w:val="20"/>
        </w:rPr>
      </w:pPr>
      <w:r w:rsidRPr="004A6B27">
        <w:rPr>
          <w:rFonts w:ascii="Arial" w:hAnsi="Arial" w:cs="Arial"/>
          <w:i/>
          <w:iCs/>
          <w:sz w:val="20"/>
          <w:szCs w:val="20"/>
          <w:lang w:val="sv-SE"/>
        </w:rPr>
        <w:t>Apply RedCap IFRI in SIB1</w:t>
      </w:r>
    </w:p>
    <w:p w14:paraId="755B8ECE" w14:textId="40D01868" w:rsidR="00D90355" w:rsidRPr="00F54F3D" w:rsidRDefault="00D90355" w:rsidP="00097035">
      <w:pPr>
        <w:pStyle w:val="ListParagraph"/>
        <w:numPr>
          <w:ilvl w:val="0"/>
          <w:numId w:val="38"/>
        </w:numPr>
        <w:jc w:val="both"/>
        <w:rPr>
          <w:rFonts w:ascii="Arial" w:hAnsi="Arial" w:cs="Arial"/>
          <w:sz w:val="20"/>
          <w:szCs w:val="20"/>
        </w:rPr>
      </w:pPr>
      <w:r w:rsidRPr="007D5698">
        <w:rPr>
          <w:rFonts w:ascii="Arial" w:hAnsi="Arial" w:cs="Arial"/>
          <w:sz w:val="20"/>
          <w:szCs w:val="20"/>
          <w:lang w:val="sv-SE"/>
        </w:rPr>
        <w:t>2 Rx chain</w:t>
      </w:r>
      <w:r w:rsidR="00F54F3D">
        <w:rPr>
          <w:rFonts w:ascii="Arial" w:hAnsi="Arial" w:cs="Arial"/>
          <w:sz w:val="20"/>
          <w:szCs w:val="20"/>
          <w:lang w:val="sv-SE"/>
        </w:rPr>
        <w:t>s</w:t>
      </w:r>
      <w:r w:rsidRPr="007D5698">
        <w:rPr>
          <w:rFonts w:ascii="Arial" w:hAnsi="Arial" w:cs="Arial"/>
          <w:sz w:val="20"/>
          <w:szCs w:val="20"/>
          <w:lang w:val="sv-SE"/>
        </w:rPr>
        <w:t xml:space="preserve"> RedCap barring indication</w:t>
      </w:r>
    </w:p>
    <w:p w14:paraId="38E41B66" w14:textId="76186D84" w:rsidR="00F54F3D" w:rsidRPr="004A6B27" w:rsidRDefault="00F54F3D" w:rsidP="00097035">
      <w:pPr>
        <w:pStyle w:val="ListParagraph"/>
        <w:numPr>
          <w:ilvl w:val="1"/>
          <w:numId w:val="37"/>
        </w:numPr>
        <w:jc w:val="both"/>
        <w:rPr>
          <w:rFonts w:ascii="Arial" w:hAnsi="Arial" w:cs="Arial"/>
          <w:sz w:val="20"/>
          <w:szCs w:val="20"/>
        </w:rPr>
      </w:pPr>
      <w:r>
        <w:rPr>
          <w:rFonts w:ascii="Arial" w:hAnsi="Arial" w:cs="Arial"/>
          <w:sz w:val="20"/>
          <w:szCs w:val="20"/>
          <w:lang w:val="sv-SE"/>
        </w:rPr>
        <w:t>If UE has 2 Rx chains</w:t>
      </w:r>
    </w:p>
    <w:p w14:paraId="21FBE190" w14:textId="77777777" w:rsidR="00F54F3D" w:rsidRPr="007D5698" w:rsidRDefault="00F54F3D" w:rsidP="00097035">
      <w:pPr>
        <w:pStyle w:val="ListParagraph"/>
        <w:numPr>
          <w:ilvl w:val="2"/>
          <w:numId w:val="37"/>
        </w:numPr>
        <w:jc w:val="both"/>
        <w:rPr>
          <w:rFonts w:ascii="Arial" w:hAnsi="Arial" w:cs="Arial"/>
          <w:sz w:val="20"/>
          <w:szCs w:val="20"/>
        </w:rPr>
      </w:pPr>
      <w:r w:rsidRPr="007D5698">
        <w:rPr>
          <w:rFonts w:ascii="Arial" w:hAnsi="Arial" w:cs="Arial"/>
          <w:i/>
          <w:iCs/>
          <w:sz w:val="20"/>
          <w:szCs w:val="20"/>
          <w:lang w:val="sv-SE"/>
        </w:rPr>
        <w:t>Consider the cell as barred</w:t>
      </w:r>
      <w:r w:rsidRPr="007D5698">
        <w:rPr>
          <w:rFonts w:ascii="Arial" w:hAnsi="Arial" w:cs="Arial"/>
          <w:sz w:val="20"/>
          <w:szCs w:val="20"/>
          <w:lang w:val="sv-SE"/>
        </w:rPr>
        <w:t xml:space="preserve"> </w:t>
      </w:r>
    </w:p>
    <w:p w14:paraId="57090C0E" w14:textId="6B21CA64" w:rsidR="00F54F3D" w:rsidRPr="004A6B27" w:rsidRDefault="00F54F3D" w:rsidP="00097035">
      <w:pPr>
        <w:pStyle w:val="ListParagraph"/>
        <w:numPr>
          <w:ilvl w:val="2"/>
          <w:numId w:val="37"/>
        </w:numPr>
        <w:jc w:val="both"/>
        <w:rPr>
          <w:rFonts w:ascii="Arial" w:hAnsi="Arial" w:cs="Arial"/>
          <w:i/>
          <w:iCs/>
          <w:sz w:val="20"/>
          <w:szCs w:val="20"/>
        </w:rPr>
      </w:pPr>
      <w:r w:rsidRPr="004A6B27">
        <w:rPr>
          <w:rFonts w:ascii="Arial" w:hAnsi="Arial" w:cs="Arial"/>
          <w:i/>
          <w:iCs/>
          <w:sz w:val="20"/>
          <w:szCs w:val="20"/>
          <w:lang w:val="sv-SE"/>
        </w:rPr>
        <w:t>Apply RedCap IFRI in SIB1</w:t>
      </w:r>
    </w:p>
    <w:p w14:paraId="656D9B1A" w14:textId="77777777" w:rsidR="00F54F3D" w:rsidRPr="007D5698" w:rsidRDefault="00F54F3D" w:rsidP="00097035">
      <w:pPr>
        <w:pStyle w:val="ListParagraph"/>
        <w:jc w:val="both"/>
        <w:rPr>
          <w:rFonts w:ascii="Arial" w:hAnsi="Arial" w:cs="Arial"/>
          <w:sz w:val="20"/>
          <w:szCs w:val="20"/>
        </w:rPr>
      </w:pPr>
    </w:p>
    <w:p w14:paraId="4B149BBB" w14:textId="77777777" w:rsidR="00D90355" w:rsidRPr="00D90355" w:rsidRDefault="00D90355" w:rsidP="00097035">
      <w:pPr>
        <w:pStyle w:val="ListParagraph"/>
        <w:jc w:val="both"/>
        <w:rPr>
          <w:rFonts w:ascii="Arial" w:hAnsi="Arial" w:cs="Arial"/>
          <w:sz w:val="20"/>
          <w:szCs w:val="20"/>
        </w:rPr>
      </w:pPr>
    </w:p>
    <w:p w14:paraId="58A2F30C" w14:textId="37107ABC" w:rsidR="00D047B6" w:rsidRDefault="00C42DB7" w:rsidP="00097035">
      <w:pPr>
        <w:jc w:val="both"/>
        <w:rPr>
          <w:rFonts w:ascii="Arial" w:hAnsi="Arial" w:cs="Arial"/>
        </w:rPr>
      </w:pPr>
      <w:r>
        <w:rPr>
          <w:rFonts w:ascii="Arial" w:hAnsi="Arial" w:cs="Arial"/>
        </w:rPr>
        <w:t xml:space="preserve">Which IFRI a RedCap UE should apply in case the cell is not supporting RedCap was discussion in offline [110] with the following outcome: </w:t>
      </w:r>
    </w:p>
    <w:p w14:paraId="69B692B9" w14:textId="77777777" w:rsidR="0014366F" w:rsidRPr="0014366F" w:rsidRDefault="0014366F" w:rsidP="00097035">
      <w:pPr>
        <w:pBdr>
          <w:top w:val="single" w:sz="4" w:space="1" w:color="auto"/>
          <w:left w:val="single" w:sz="4" w:space="1" w:color="auto"/>
          <w:bottom w:val="single" w:sz="4" w:space="1" w:color="auto"/>
          <w:right w:val="single" w:sz="4" w:space="4" w:color="auto"/>
        </w:pBdr>
        <w:tabs>
          <w:tab w:val="left" w:pos="1622"/>
        </w:tabs>
        <w:overflowPunct/>
        <w:autoSpaceDE/>
        <w:autoSpaceDN/>
        <w:adjustRightInd/>
        <w:spacing w:after="0"/>
        <w:ind w:left="363" w:hanging="363"/>
        <w:jc w:val="both"/>
        <w:textAlignment w:val="auto"/>
        <w:rPr>
          <w:rFonts w:ascii="Arial" w:eastAsia="MS Mincho" w:hAnsi="Arial" w:cs="Arial"/>
          <w:szCs w:val="24"/>
          <w:lang w:eastAsia="en-GB"/>
        </w:rPr>
      </w:pPr>
      <w:r w:rsidRPr="0014366F">
        <w:rPr>
          <w:rFonts w:ascii="Arial" w:eastAsia="MS Mincho" w:hAnsi="Arial" w:cs="Arial"/>
          <w:szCs w:val="24"/>
          <w:lang w:eastAsia="en-GB"/>
        </w:rPr>
        <w:t>FFSs:</w:t>
      </w:r>
    </w:p>
    <w:p w14:paraId="1C27B746" w14:textId="77777777" w:rsidR="0014366F" w:rsidRPr="0014366F" w:rsidRDefault="0014366F" w:rsidP="00097035">
      <w:pPr>
        <w:numPr>
          <w:ilvl w:val="0"/>
          <w:numId w:val="34"/>
        </w:numPr>
        <w:pBdr>
          <w:top w:val="single" w:sz="4" w:space="1" w:color="auto"/>
          <w:left w:val="single" w:sz="4" w:space="1" w:color="auto"/>
          <w:bottom w:val="single" w:sz="4" w:space="1" w:color="auto"/>
          <w:right w:val="single" w:sz="4" w:space="4" w:color="auto"/>
        </w:pBdr>
        <w:tabs>
          <w:tab w:val="left" w:pos="1622"/>
        </w:tabs>
        <w:overflowPunct/>
        <w:autoSpaceDE/>
        <w:autoSpaceDN/>
        <w:adjustRightInd/>
        <w:spacing w:after="0"/>
        <w:ind w:left="360"/>
        <w:jc w:val="both"/>
        <w:textAlignment w:val="auto"/>
        <w:rPr>
          <w:rFonts w:ascii="Arial" w:eastAsia="MS Mincho" w:hAnsi="Arial" w:cs="Arial"/>
          <w:szCs w:val="24"/>
          <w:lang w:eastAsia="en-GB"/>
        </w:rPr>
      </w:pPr>
      <w:r w:rsidRPr="0014366F">
        <w:rPr>
          <w:rFonts w:ascii="Arial" w:eastAsia="MS Mincho" w:hAnsi="Arial" w:cs="Arial"/>
          <w:szCs w:val="24"/>
          <w:lang w:eastAsia="en-GB"/>
        </w:rPr>
        <w:t>In case the cell is barred due to not supporting RedCap, UE behaviour for intra-frequency cell reselection is FFS</w:t>
      </w:r>
    </w:p>
    <w:p w14:paraId="3AA58CFE" w14:textId="7C8E36B6" w:rsidR="00E2289A" w:rsidRDefault="00E2289A" w:rsidP="00097035">
      <w:pPr>
        <w:jc w:val="both"/>
        <w:rPr>
          <w:rFonts w:ascii="Arial" w:hAnsi="Arial" w:cs="Arial"/>
        </w:rPr>
      </w:pPr>
    </w:p>
    <w:p w14:paraId="76D5DA80" w14:textId="2410088D" w:rsidR="00533940" w:rsidRDefault="00533940" w:rsidP="00097035">
      <w:pPr>
        <w:jc w:val="both"/>
        <w:rPr>
          <w:rFonts w:ascii="Arial" w:hAnsi="Arial" w:cs="Arial"/>
        </w:rPr>
      </w:pPr>
      <w:r>
        <w:rPr>
          <w:rFonts w:ascii="Arial" w:hAnsi="Arial" w:cs="Arial"/>
        </w:rPr>
        <w:t xml:space="preserve">However, this does not cover case 1 above when legacy MIB indicates that the cell is barred, so for </w:t>
      </w:r>
      <w:r w:rsidRPr="00533940">
        <w:rPr>
          <w:rFonts w:ascii="Arial" w:hAnsi="Arial" w:cs="Arial"/>
          <w:color w:val="FF0000"/>
        </w:rPr>
        <w:t xml:space="preserve">open issue </w:t>
      </w:r>
      <w:r>
        <w:rPr>
          <w:rFonts w:ascii="Arial" w:hAnsi="Arial" w:cs="Arial"/>
          <w:color w:val="FF0000"/>
        </w:rPr>
        <w:t>1</w:t>
      </w:r>
      <w:r>
        <w:rPr>
          <w:rFonts w:ascii="Arial" w:hAnsi="Arial" w:cs="Arial"/>
        </w:rPr>
        <w:t xml:space="preserve"> there are two choices: 1) follow legacy IFRI in MIB, or 2) check if RedCap specific IFRI is present in SIB1.</w:t>
      </w:r>
    </w:p>
    <w:p w14:paraId="0CA6C2BD" w14:textId="4B1603DA" w:rsidR="0052034C" w:rsidRDefault="0052034C" w:rsidP="00097035">
      <w:pPr>
        <w:pStyle w:val="Proposal"/>
      </w:pPr>
      <w:bookmarkStart w:id="9" w:name="_Ref91500780"/>
      <w:bookmarkStart w:id="10" w:name="_Toc92708204"/>
      <w:r>
        <w:t>If</w:t>
      </w:r>
      <w:r w:rsidR="00FF5696">
        <w:t xml:space="preserve"> </w:t>
      </w:r>
      <w:r>
        <w:t xml:space="preserve">cell </w:t>
      </w:r>
      <w:r w:rsidR="007C2C83">
        <w:t xml:space="preserve">is </w:t>
      </w:r>
      <w:r>
        <w:t>barr</w:t>
      </w:r>
      <w:r w:rsidR="007C2C83">
        <w:t>ed</w:t>
      </w:r>
      <w:r>
        <w:t xml:space="preserve"> </w:t>
      </w:r>
      <w:r w:rsidR="007C2C83">
        <w:t>according to</w:t>
      </w:r>
      <w:r>
        <w:t xml:space="preserve"> MIB, RedCap UEs follow RedCap specific IFRI in SIB1 if present</w:t>
      </w:r>
      <w:r w:rsidR="00752E5F">
        <w:t>.</w:t>
      </w:r>
      <w:bookmarkEnd w:id="9"/>
      <w:bookmarkEnd w:id="10"/>
      <w:r w:rsidR="00752E5F">
        <w:t xml:space="preserve"> </w:t>
      </w:r>
    </w:p>
    <w:p w14:paraId="0F28E85B" w14:textId="22D91459" w:rsidR="00E8041E" w:rsidRDefault="00E8041E" w:rsidP="00097035">
      <w:pPr>
        <w:jc w:val="both"/>
        <w:rPr>
          <w:rFonts w:ascii="Arial" w:hAnsi="Arial" w:cs="Arial"/>
        </w:rPr>
      </w:pPr>
    </w:p>
    <w:p w14:paraId="5088BEC9" w14:textId="28B82A08" w:rsidR="009977FE" w:rsidRDefault="009977FE" w:rsidP="00097035">
      <w:pPr>
        <w:jc w:val="both"/>
        <w:rPr>
          <w:rFonts w:ascii="Arial" w:hAnsi="Arial" w:cs="Arial"/>
        </w:rPr>
      </w:pPr>
      <w:r>
        <w:rPr>
          <w:rFonts w:ascii="Arial" w:hAnsi="Arial" w:cs="Arial"/>
        </w:rPr>
        <w:lastRenderedPageBreak/>
        <w:t xml:space="preserve">Further, the most popular alternative to always consider intra-frequency cell reselection as ‘allowed’ has </w:t>
      </w:r>
      <w:r w:rsidR="00EA724D">
        <w:rPr>
          <w:rFonts w:ascii="Arial" w:hAnsi="Arial" w:cs="Arial"/>
        </w:rPr>
        <w:t>the</w:t>
      </w:r>
      <w:r>
        <w:rPr>
          <w:rFonts w:ascii="Arial" w:hAnsi="Arial" w:cs="Arial"/>
        </w:rPr>
        <w:t xml:space="preserve"> problems</w:t>
      </w:r>
      <w:r w:rsidR="00EA724D">
        <w:rPr>
          <w:rFonts w:ascii="Arial" w:hAnsi="Arial" w:cs="Arial"/>
        </w:rPr>
        <w:t xml:space="preserve"> that</w:t>
      </w:r>
      <w:r>
        <w:rPr>
          <w:rFonts w:ascii="Arial" w:hAnsi="Arial" w:cs="Arial"/>
        </w:rPr>
        <w:t xml:space="preserve"> it leads to higher UE energy consumptio</w:t>
      </w:r>
      <w:r w:rsidR="00EA724D">
        <w:rPr>
          <w:rFonts w:ascii="Arial" w:hAnsi="Arial" w:cs="Arial"/>
        </w:rPr>
        <w:t>n</w:t>
      </w:r>
      <w:r>
        <w:rPr>
          <w:rFonts w:ascii="Arial" w:hAnsi="Arial" w:cs="Arial"/>
        </w:rPr>
        <w:t xml:space="preserve"> in case the entire frequency is barred </w:t>
      </w:r>
      <w:r w:rsidR="006B0D6A">
        <w:rPr>
          <w:rFonts w:ascii="Arial" w:hAnsi="Arial" w:cs="Arial"/>
        </w:rPr>
        <w:t>(</w:t>
      </w:r>
      <w:r>
        <w:rPr>
          <w:rFonts w:ascii="Arial" w:hAnsi="Arial" w:cs="Arial"/>
        </w:rPr>
        <w:t>since there is no way to avoid that RedCap UEs anyway searches in all cells on the frequency</w:t>
      </w:r>
      <w:r w:rsidR="00EA724D">
        <w:rPr>
          <w:rFonts w:ascii="Arial" w:hAnsi="Arial" w:cs="Arial"/>
        </w:rPr>
        <w:t>)</w:t>
      </w:r>
      <w:r>
        <w:rPr>
          <w:rFonts w:ascii="Arial" w:hAnsi="Arial" w:cs="Arial"/>
        </w:rPr>
        <w:t xml:space="preserve">. </w:t>
      </w:r>
      <w:r w:rsidR="00EA724D">
        <w:rPr>
          <w:rFonts w:ascii="Arial" w:hAnsi="Arial" w:cs="Arial"/>
        </w:rPr>
        <w:t>This may not only apply to case 3 above (IFRI absent), but also lead to higher UE energy consumption for case 1 (MIB barring) and case 2 (RedCap not configured).</w:t>
      </w:r>
    </w:p>
    <w:p w14:paraId="10099FA3" w14:textId="7A5CD72D" w:rsidR="00986D01" w:rsidRPr="00C6701E" w:rsidRDefault="00986D01" w:rsidP="00097035">
      <w:pPr>
        <w:spacing w:after="240"/>
        <w:jc w:val="both"/>
        <w:rPr>
          <w:rFonts w:ascii="Arial" w:hAnsi="Arial" w:cs="Arial"/>
        </w:rPr>
      </w:pPr>
      <w:r>
        <w:rPr>
          <w:rFonts w:ascii="Arial" w:hAnsi="Arial" w:cs="Arial"/>
        </w:rPr>
        <w:t xml:space="preserve">For </w:t>
      </w:r>
      <w:r w:rsidRPr="00986D01">
        <w:rPr>
          <w:rFonts w:ascii="Arial" w:hAnsi="Arial" w:cs="Arial"/>
          <w:color w:val="FF0000"/>
        </w:rPr>
        <w:t>open issue 2</w:t>
      </w:r>
      <w:r>
        <w:rPr>
          <w:rFonts w:ascii="Arial" w:hAnsi="Arial" w:cs="Arial"/>
        </w:rPr>
        <w:t>, if the cell does not support RedCap and it is not configured, RedCap UEs should apply legacy behaviour and follow legacy IFRI in MIB. According to agreement, UEs should consider that the cell does not support RedCap also when RedCap specific IFRI is missing in SIB1</w:t>
      </w:r>
      <w:r w:rsidR="00EF0920">
        <w:rPr>
          <w:rFonts w:ascii="Arial" w:hAnsi="Arial" w:cs="Arial"/>
        </w:rPr>
        <w:t xml:space="preserve"> (</w:t>
      </w:r>
      <w:r w:rsidR="00EF0920" w:rsidRPr="00986D01">
        <w:rPr>
          <w:rFonts w:ascii="Arial" w:hAnsi="Arial" w:cs="Arial"/>
          <w:color w:val="FF0000"/>
        </w:rPr>
        <w:t xml:space="preserve">open issue </w:t>
      </w:r>
      <w:r w:rsidR="00EF0920">
        <w:rPr>
          <w:rFonts w:ascii="Arial" w:hAnsi="Arial" w:cs="Arial"/>
          <w:color w:val="FF0000"/>
        </w:rPr>
        <w:t>3</w:t>
      </w:r>
      <w:r w:rsidR="00EF0920">
        <w:rPr>
          <w:rFonts w:ascii="Arial" w:hAnsi="Arial" w:cs="Arial"/>
        </w:rPr>
        <w:t>)</w:t>
      </w:r>
      <w:r>
        <w:rPr>
          <w:rFonts w:ascii="Arial" w:hAnsi="Arial" w:cs="Arial"/>
        </w:rPr>
        <w:t>. Therefore</w:t>
      </w:r>
      <w:r w:rsidR="006F6433">
        <w:rPr>
          <w:rFonts w:ascii="Arial" w:hAnsi="Arial" w:cs="Arial"/>
        </w:rPr>
        <w:t>,</w:t>
      </w:r>
      <w:r>
        <w:rPr>
          <w:rFonts w:ascii="Arial" w:hAnsi="Arial" w:cs="Arial"/>
        </w:rPr>
        <w:t xml:space="preserve"> the same UE behaviour should apply then</w:t>
      </w:r>
      <w:r w:rsidR="00EF0920">
        <w:rPr>
          <w:rFonts w:ascii="Arial" w:hAnsi="Arial" w:cs="Arial"/>
        </w:rPr>
        <w:t>, and the simple</w:t>
      </w:r>
      <w:r w:rsidR="00507C4C">
        <w:rPr>
          <w:rFonts w:ascii="Arial" w:hAnsi="Arial" w:cs="Arial"/>
        </w:rPr>
        <w:t>st</w:t>
      </w:r>
      <w:r w:rsidR="00EF0920">
        <w:rPr>
          <w:rFonts w:ascii="Arial" w:hAnsi="Arial" w:cs="Arial"/>
        </w:rPr>
        <w:t xml:space="preserve"> solution is to have the same UE behaviour no matter why the cell is considered as barred</w:t>
      </w:r>
      <w:r w:rsidR="00050DAF">
        <w:rPr>
          <w:rFonts w:ascii="Arial" w:hAnsi="Arial" w:cs="Arial"/>
        </w:rPr>
        <w:t xml:space="preserve"> (i.e. </w:t>
      </w:r>
      <w:r w:rsidR="00050DAF" w:rsidRPr="00050DAF">
        <w:rPr>
          <w:rFonts w:ascii="Arial" w:hAnsi="Arial" w:cs="Arial"/>
        </w:rPr>
        <w:t>due to MIB, or RedCap is not configured in the cell, or RedCap specific IFRI in SIB1 is absent, or RedCap specific barring in SIB1)</w:t>
      </w:r>
      <w:r>
        <w:rPr>
          <w:rFonts w:ascii="Arial" w:hAnsi="Arial" w:cs="Arial"/>
        </w:rPr>
        <w:t>:</w:t>
      </w:r>
    </w:p>
    <w:p w14:paraId="2B76C060" w14:textId="5E6241E7" w:rsidR="00752E5F" w:rsidRDefault="00752E5F" w:rsidP="00097035">
      <w:pPr>
        <w:pStyle w:val="Proposal"/>
      </w:pPr>
      <w:bookmarkStart w:id="11" w:name="_Toc92708205"/>
      <w:r>
        <w:t xml:space="preserve">If cell is barred </w:t>
      </w:r>
      <w:r w:rsidR="00050DAF">
        <w:t xml:space="preserve">for any reason </w:t>
      </w:r>
      <w:r w:rsidR="00EB17DE">
        <w:t>and RedCap specific IFRI in SIB1 is absent, RedCap UEs follow the legacy IFRI in MIB</w:t>
      </w:r>
      <w:r>
        <w:t>.</w:t>
      </w:r>
      <w:bookmarkEnd w:id="11"/>
      <w:r>
        <w:t xml:space="preserve"> </w:t>
      </w:r>
    </w:p>
    <w:p w14:paraId="164C4E8B" w14:textId="303DD731" w:rsidR="00507C4C" w:rsidRDefault="00EF0920" w:rsidP="00097035">
      <w:pPr>
        <w:pStyle w:val="Comments"/>
        <w:spacing w:after="120"/>
        <w:jc w:val="both"/>
        <w:rPr>
          <w:i w:val="0"/>
          <w:iCs/>
          <w:sz w:val="20"/>
          <w:szCs w:val="22"/>
        </w:rPr>
      </w:pPr>
      <w:r>
        <w:rPr>
          <w:i w:val="0"/>
          <w:iCs/>
          <w:sz w:val="20"/>
          <w:szCs w:val="22"/>
        </w:rPr>
        <w:t>Note that if the cell is barred, for any reason as above, and the RedCap specific IFRI is presnt in SIB1, then UEs should always follow that. However, this is already clear/agreed, except for the case of MIB barring, which is covered abo</w:t>
      </w:r>
      <w:r w:rsidR="00507C4C">
        <w:rPr>
          <w:i w:val="0"/>
          <w:iCs/>
          <w:sz w:val="20"/>
          <w:szCs w:val="22"/>
        </w:rPr>
        <w:t>v</w:t>
      </w:r>
      <w:r>
        <w:rPr>
          <w:i w:val="0"/>
          <w:iCs/>
          <w:sz w:val="20"/>
          <w:szCs w:val="22"/>
        </w:rPr>
        <w:t xml:space="preserve">e in </w:t>
      </w:r>
      <w:r w:rsidR="00507C4C">
        <w:rPr>
          <w:i w:val="0"/>
          <w:iCs/>
          <w:sz w:val="20"/>
          <w:szCs w:val="22"/>
        </w:rPr>
        <w:fldChar w:fldCharType="begin"/>
      </w:r>
      <w:r w:rsidR="00507C4C">
        <w:rPr>
          <w:i w:val="0"/>
          <w:iCs/>
          <w:sz w:val="20"/>
          <w:szCs w:val="22"/>
        </w:rPr>
        <w:instrText xml:space="preserve"> REF _Ref91500780 \r \h </w:instrText>
      </w:r>
      <w:r w:rsidR="00507C4C">
        <w:rPr>
          <w:i w:val="0"/>
          <w:iCs/>
          <w:sz w:val="20"/>
          <w:szCs w:val="22"/>
        </w:rPr>
      </w:r>
      <w:r w:rsidR="00097035">
        <w:rPr>
          <w:i w:val="0"/>
          <w:iCs/>
          <w:sz w:val="20"/>
          <w:szCs w:val="22"/>
        </w:rPr>
        <w:instrText xml:space="preserve"> \* MERGEFORMAT </w:instrText>
      </w:r>
      <w:r w:rsidR="00507C4C">
        <w:rPr>
          <w:i w:val="0"/>
          <w:iCs/>
          <w:sz w:val="20"/>
          <w:szCs w:val="22"/>
        </w:rPr>
        <w:fldChar w:fldCharType="separate"/>
      </w:r>
      <w:r w:rsidR="00507C4C">
        <w:rPr>
          <w:i w:val="0"/>
          <w:iCs/>
          <w:sz w:val="20"/>
          <w:szCs w:val="22"/>
        </w:rPr>
        <w:t>Proposal 6</w:t>
      </w:r>
      <w:r w:rsidR="00507C4C">
        <w:rPr>
          <w:i w:val="0"/>
          <w:iCs/>
          <w:sz w:val="20"/>
          <w:szCs w:val="22"/>
        </w:rPr>
        <w:fldChar w:fldCharType="end"/>
      </w:r>
      <w:r w:rsidR="00507C4C">
        <w:rPr>
          <w:i w:val="0"/>
          <w:iCs/>
          <w:sz w:val="20"/>
          <w:szCs w:val="22"/>
        </w:rPr>
        <w:t>.</w:t>
      </w:r>
    </w:p>
    <w:p w14:paraId="14C3E2D0" w14:textId="7A8723BD" w:rsidR="00E20310" w:rsidRDefault="00E20310" w:rsidP="00097035">
      <w:pPr>
        <w:pStyle w:val="Comments"/>
        <w:spacing w:after="240"/>
        <w:jc w:val="both"/>
        <w:rPr>
          <w:i w:val="0"/>
          <w:iCs/>
          <w:sz w:val="20"/>
          <w:szCs w:val="22"/>
        </w:rPr>
      </w:pPr>
      <w:r>
        <w:rPr>
          <w:i w:val="0"/>
          <w:iCs/>
          <w:sz w:val="20"/>
          <w:szCs w:val="22"/>
        </w:rPr>
        <w:t xml:space="preserve">It is however unclear what the purpose of case 3 is above. That is, when would someone ever support RedCap in a cell, and provide all RedCap parameters except the IFRI in SIB1? If the intention is to bar </w:t>
      </w:r>
      <w:r w:rsidR="00EF4809">
        <w:rPr>
          <w:i w:val="0"/>
          <w:iCs/>
          <w:sz w:val="20"/>
          <w:szCs w:val="22"/>
        </w:rPr>
        <w:t xml:space="preserve">any </w:t>
      </w:r>
      <w:r>
        <w:rPr>
          <w:i w:val="0"/>
          <w:iCs/>
          <w:sz w:val="20"/>
          <w:szCs w:val="22"/>
        </w:rPr>
        <w:t xml:space="preserve">RedCap access in the cell the entire RedCap configuration </w:t>
      </w:r>
      <w:r w:rsidR="00EF4809">
        <w:rPr>
          <w:i w:val="0"/>
          <w:iCs/>
          <w:sz w:val="20"/>
          <w:szCs w:val="22"/>
        </w:rPr>
        <w:t>w</w:t>
      </w:r>
      <w:r>
        <w:rPr>
          <w:i w:val="0"/>
          <w:iCs/>
          <w:sz w:val="20"/>
          <w:szCs w:val="22"/>
        </w:rPr>
        <w:t>ould just be removed (same effort to modify SI).</w:t>
      </w:r>
      <w:r w:rsidR="009C3253">
        <w:rPr>
          <w:i w:val="0"/>
          <w:iCs/>
          <w:sz w:val="20"/>
          <w:szCs w:val="22"/>
        </w:rPr>
        <w:t xml:space="preserve"> If it, however, is desired to keep the RedCap configuration while barring RedCap UEs this is still possible with the explicit barring indications for 1 Rx and 2 Rx UEs. </w:t>
      </w:r>
      <w:r w:rsidR="00EF4809">
        <w:rPr>
          <w:i w:val="0"/>
          <w:iCs/>
          <w:sz w:val="20"/>
          <w:szCs w:val="22"/>
        </w:rPr>
        <w:t xml:space="preserve">Further, IFRI is </w:t>
      </w:r>
      <w:r w:rsidR="00EF4809" w:rsidRPr="00EF4809">
        <w:rPr>
          <w:i w:val="0"/>
          <w:iCs/>
          <w:sz w:val="20"/>
          <w:szCs w:val="22"/>
          <w:u w:val="single"/>
        </w:rPr>
        <w:t>not</w:t>
      </w:r>
      <w:r w:rsidR="00EF4809">
        <w:rPr>
          <w:i w:val="0"/>
          <w:iCs/>
          <w:sz w:val="20"/>
          <w:szCs w:val="22"/>
        </w:rPr>
        <w:t xml:space="preserve"> needed when RedCap is not barred (i.e. most often), and it is threfore backwards that it must be provided is this case according to the previous agreement. </w:t>
      </w:r>
      <w:r w:rsidR="00050DAF">
        <w:rPr>
          <w:i w:val="0"/>
          <w:iCs/>
          <w:sz w:val="20"/>
          <w:szCs w:val="22"/>
        </w:rPr>
        <w:t xml:space="preserve">It </w:t>
      </w:r>
      <w:r w:rsidR="00EF4809">
        <w:rPr>
          <w:i w:val="0"/>
          <w:iCs/>
          <w:sz w:val="20"/>
          <w:szCs w:val="22"/>
        </w:rPr>
        <w:t xml:space="preserve">cannot either be implict from the presence of IFRI that RedCap is supported in the cell since both 1 Rx and 2 Rx indications could be set to </w:t>
      </w:r>
      <w:r w:rsidR="00EF4809" w:rsidRPr="00EF4809">
        <w:rPr>
          <w:sz w:val="20"/>
          <w:szCs w:val="22"/>
        </w:rPr>
        <w:t>barred</w:t>
      </w:r>
      <w:r w:rsidR="00EF4809">
        <w:rPr>
          <w:i w:val="0"/>
          <w:iCs/>
          <w:sz w:val="20"/>
          <w:szCs w:val="22"/>
        </w:rPr>
        <w:t>.</w:t>
      </w:r>
      <w:r w:rsidR="009C3253">
        <w:rPr>
          <w:i w:val="0"/>
          <w:iCs/>
          <w:sz w:val="20"/>
          <w:szCs w:val="22"/>
        </w:rPr>
        <w:t xml:space="preserve"> Therefore, s</w:t>
      </w:r>
      <w:r>
        <w:rPr>
          <w:i w:val="0"/>
          <w:iCs/>
          <w:sz w:val="20"/>
          <w:szCs w:val="22"/>
        </w:rPr>
        <w:t xml:space="preserve">ince </w:t>
      </w:r>
      <w:r w:rsidR="009C3253">
        <w:rPr>
          <w:i w:val="0"/>
          <w:iCs/>
          <w:sz w:val="20"/>
          <w:szCs w:val="22"/>
        </w:rPr>
        <w:t>the conditional presence of the IFRI parameter in SIB1</w:t>
      </w:r>
      <w:r>
        <w:rPr>
          <w:i w:val="0"/>
          <w:iCs/>
          <w:sz w:val="20"/>
          <w:szCs w:val="22"/>
        </w:rPr>
        <w:t xml:space="preserve"> adds nothing but complexity we propose the following:</w:t>
      </w:r>
    </w:p>
    <w:p w14:paraId="4F4A295F" w14:textId="5EBC5244" w:rsidR="00E20310" w:rsidRDefault="00E20310" w:rsidP="00097035">
      <w:pPr>
        <w:pStyle w:val="Observation"/>
      </w:pPr>
      <w:bookmarkStart w:id="12" w:name="_Toc92708192"/>
      <w:r>
        <w:t xml:space="preserve">Not supporting RedCap in a cell by removing IFRI in SIB1 does not fill any </w:t>
      </w:r>
      <w:r w:rsidR="00C8451F">
        <w:t>practical</w:t>
      </w:r>
      <w:r>
        <w:t xml:space="preserve"> purpose and only adds </w:t>
      </w:r>
      <w:r w:rsidR="00EF4809">
        <w:t xml:space="preserve">unnecessary </w:t>
      </w:r>
      <w:r>
        <w:t>complexity.</w:t>
      </w:r>
      <w:bookmarkEnd w:id="12"/>
    </w:p>
    <w:p w14:paraId="2BC1C462" w14:textId="05C85690" w:rsidR="00E20310" w:rsidRDefault="00E20310" w:rsidP="00097035">
      <w:pPr>
        <w:pStyle w:val="Proposal"/>
        <w:rPr>
          <w:iCs/>
        </w:rPr>
      </w:pPr>
      <w:bookmarkStart w:id="13" w:name="_Toc92708206"/>
      <w:r w:rsidRPr="005525E2">
        <w:rPr>
          <w:iCs/>
        </w:rPr>
        <w:t>Revert the agreement “If RedCap-specific IFRI is absent from broadcast SI, the UE considers the cell does not support RedCap.”</w:t>
      </w:r>
      <w:bookmarkEnd w:id="13"/>
      <w:r w:rsidRPr="005525E2">
        <w:rPr>
          <w:iCs/>
        </w:rPr>
        <w:t xml:space="preserve"> </w:t>
      </w:r>
    </w:p>
    <w:p w14:paraId="70DD9C8F" w14:textId="77777777" w:rsidR="008222DE" w:rsidRPr="00593534" w:rsidRDefault="008222DE" w:rsidP="00097035">
      <w:pPr>
        <w:jc w:val="both"/>
      </w:pPr>
    </w:p>
    <w:p w14:paraId="08466761" w14:textId="505BAF11" w:rsidR="0023537E" w:rsidRDefault="001D5142" w:rsidP="0023537E">
      <w:pPr>
        <w:pStyle w:val="Heading2"/>
      </w:pPr>
      <w:r>
        <w:t>3.</w:t>
      </w:r>
      <w:r w:rsidR="00D3537E">
        <w:t>2</w:t>
      </w:r>
      <w:r w:rsidR="00D3537E">
        <w:tab/>
      </w:r>
      <w:r w:rsidR="00632DD3">
        <w:t xml:space="preserve">Indication of </w:t>
      </w:r>
      <w:r w:rsidR="0023537E">
        <w:t xml:space="preserve">RedCap </w:t>
      </w:r>
      <w:r w:rsidR="00632DD3">
        <w:t>access in</w:t>
      </w:r>
      <w:r w:rsidR="0023537E">
        <w:t xml:space="preserve"> neighbouring cells</w:t>
      </w:r>
    </w:p>
    <w:p w14:paraId="645BDD59" w14:textId="18C2D42A" w:rsidR="00822A4B" w:rsidRPr="00767A36" w:rsidRDefault="00767A36" w:rsidP="00097035">
      <w:pPr>
        <w:jc w:val="both"/>
        <w:rPr>
          <w:rFonts w:ascii="Arial" w:hAnsi="Arial" w:cs="Arial"/>
        </w:rPr>
      </w:pPr>
      <w:r>
        <w:rPr>
          <w:rFonts w:ascii="Arial" w:hAnsi="Arial" w:cs="Arial"/>
        </w:rPr>
        <w:t>Whether system information should provide indication of which neighbour cells support RedCap has been proposed by several companies and was also discussed in o</w:t>
      </w:r>
      <w:r w:rsidR="00822A4B" w:rsidRPr="00822A4B">
        <w:rPr>
          <w:rFonts w:ascii="Arial" w:hAnsi="Arial" w:cs="Arial"/>
        </w:rPr>
        <w:t>ffline [110]:</w:t>
      </w:r>
    </w:p>
    <w:p w14:paraId="58C8E9E6" w14:textId="77777777" w:rsidR="0098775B" w:rsidRPr="00767A36" w:rsidRDefault="0098775B" w:rsidP="0009703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jc w:val="both"/>
        <w:textAlignment w:val="auto"/>
        <w:rPr>
          <w:rFonts w:ascii="Arial" w:eastAsia="MS Mincho" w:hAnsi="Arial" w:cs="Arial"/>
          <w:szCs w:val="24"/>
          <w:lang w:eastAsia="en-GB"/>
        </w:rPr>
      </w:pPr>
      <w:r w:rsidRPr="00767A36">
        <w:rPr>
          <w:rFonts w:ascii="Arial" w:eastAsia="MS Mincho" w:hAnsi="Arial" w:cs="Arial"/>
          <w:szCs w:val="24"/>
          <w:lang w:eastAsia="en-GB"/>
        </w:rPr>
        <w:t>FFSs:</w:t>
      </w:r>
    </w:p>
    <w:p w14:paraId="2B1B7E4C" w14:textId="3143B835" w:rsidR="0098775B" w:rsidRPr="00767A36" w:rsidRDefault="0098775B" w:rsidP="00097035">
      <w:pPr>
        <w:numPr>
          <w:ilvl w:val="0"/>
          <w:numId w:val="3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jc w:val="both"/>
        <w:textAlignment w:val="auto"/>
        <w:rPr>
          <w:rFonts w:ascii="Arial" w:eastAsia="MS Mincho" w:hAnsi="Arial" w:cs="Arial"/>
          <w:szCs w:val="24"/>
          <w:lang w:eastAsia="en-GB"/>
        </w:rPr>
      </w:pPr>
      <w:r w:rsidRPr="00767A36">
        <w:rPr>
          <w:rFonts w:ascii="Arial" w:eastAsia="MS Mincho" w:hAnsi="Arial" w:cs="Arial"/>
          <w:szCs w:val="24"/>
          <w:lang w:eastAsia="en-GB"/>
        </w:rPr>
        <w:t>FFS whether system information should provide information on which cells accept RedCap UE access, and if, what this information should include (e¸g. support, barring?) and in which form (e.g. NCell, allow-list, exclude-list)</w:t>
      </w:r>
    </w:p>
    <w:p w14:paraId="1E5DE28D" w14:textId="1486854B" w:rsidR="000600D2" w:rsidRDefault="009F2658" w:rsidP="00097035">
      <w:pPr>
        <w:spacing w:before="240"/>
        <w:jc w:val="both"/>
        <w:rPr>
          <w:rFonts w:ascii="Arial" w:hAnsi="Arial" w:cs="Arial"/>
        </w:rPr>
      </w:pPr>
      <w:r>
        <w:rPr>
          <w:rFonts w:ascii="Arial" w:hAnsi="Arial" w:cs="Arial"/>
        </w:rPr>
        <w:t xml:space="preserve">The benefit of having such indication would </w:t>
      </w:r>
      <w:r w:rsidR="00F61EFA">
        <w:rPr>
          <w:rFonts w:ascii="Arial" w:hAnsi="Arial" w:cs="Arial"/>
        </w:rPr>
        <w:t xml:space="preserve">be </w:t>
      </w:r>
      <w:r>
        <w:rPr>
          <w:rFonts w:ascii="Arial" w:hAnsi="Arial" w:cs="Arial"/>
        </w:rPr>
        <w:t xml:space="preserve">UE power saving, since RedCap UEs would not have to read </w:t>
      </w:r>
      <w:r w:rsidR="000600D2">
        <w:rPr>
          <w:rFonts w:ascii="Arial" w:hAnsi="Arial" w:cs="Arial"/>
        </w:rPr>
        <w:t xml:space="preserve">SI in the cell to conclude if it supports RedCap or not, or if RedCap access is currently barred. </w:t>
      </w:r>
      <w:r w:rsidR="00F4430C">
        <w:rPr>
          <w:rFonts w:ascii="Arial" w:hAnsi="Arial" w:cs="Arial"/>
        </w:rPr>
        <w:t>First, neighbour cell information should not contain any non-static information since this</w:t>
      </w:r>
      <w:r w:rsidR="00121C3C">
        <w:rPr>
          <w:rFonts w:ascii="Arial" w:hAnsi="Arial" w:cs="Arial"/>
        </w:rPr>
        <w:t xml:space="preserve"> would trigger SI update in all neighbour cells.</w:t>
      </w:r>
    </w:p>
    <w:p w14:paraId="6AF4068C" w14:textId="34B8E5EE" w:rsidR="000600D2" w:rsidRPr="009B555F" w:rsidRDefault="00DC6580" w:rsidP="00097035">
      <w:pPr>
        <w:pStyle w:val="Observation"/>
      </w:pPr>
      <w:bookmarkStart w:id="14" w:name="_Toc92708193"/>
      <w:r>
        <w:t xml:space="preserve">It is </w:t>
      </w:r>
      <w:r w:rsidR="009B555F">
        <w:t>not feasible</w:t>
      </w:r>
      <w:r>
        <w:t xml:space="preserve"> for system information to contain non-static information, such </w:t>
      </w:r>
      <w:r w:rsidR="00BA7A70">
        <w:t xml:space="preserve">as </w:t>
      </w:r>
      <w:r>
        <w:t>RedCap access</w:t>
      </w:r>
      <w:r w:rsidR="00BA7A70">
        <w:t xml:space="preserve"> barring </w:t>
      </w:r>
      <w:r w:rsidR="009E60A9">
        <w:t>info for</w:t>
      </w:r>
      <w:r w:rsidR="00BA7A70">
        <w:t xml:space="preserve"> neighbour cells</w:t>
      </w:r>
      <w:r w:rsidR="00B8160E">
        <w:t>, since it generate</w:t>
      </w:r>
      <w:r w:rsidR="00CC01B5">
        <w:t>s</w:t>
      </w:r>
      <w:r w:rsidR="00B8160E">
        <w:t xml:space="preserve"> a lot of SI update.</w:t>
      </w:r>
      <w:bookmarkEnd w:id="14"/>
      <w:r w:rsidR="00B8160E">
        <w:t xml:space="preserve"> </w:t>
      </w:r>
    </w:p>
    <w:p w14:paraId="3A4792DE" w14:textId="7A237CD1" w:rsidR="00540AEE" w:rsidRDefault="00121C3C" w:rsidP="00097035">
      <w:pPr>
        <w:spacing w:before="120"/>
        <w:jc w:val="both"/>
        <w:rPr>
          <w:rFonts w:ascii="Arial" w:hAnsi="Arial" w:cs="Arial"/>
        </w:rPr>
      </w:pPr>
      <w:r>
        <w:rPr>
          <w:rFonts w:ascii="Arial" w:hAnsi="Arial" w:cs="Arial"/>
        </w:rPr>
        <w:t xml:space="preserve">Second, </w:t>
      </w:r>
      <w:r w:rsidR="0039019C">
        <w:rPr>
          <w:rFonts w:ascii="Arial" w:hAnsi="Arial" w:cs="Arial"/>
        </w:rPr>
        <w:t>if</w:t>
      </w:r>
      <w:r>
        <w:rPr>
          <w:rFonts w:ascii="Arial" w:hAnsi="Arial" w:cs="Arial"/>
        </w:rPr>
        <w:t xml:space="preserve"> RedCap </w:t>
      </w:r>
      <w:r w:rsidR="006A2CBC">
        <w:rPr>
          <w:rFonts w:ascii="Arial" w:hAnsi="Arial" w:cs="Arial"/>
        </w:rPr>
        <w:t>UE support</w:t>
      </w:r>
      <w:r>
        <w:rPr>
          <w:rFonts w:ascii="Arial" w:hAnsi="Arial" w:cs="Arial"/>
        </w:rPr>
        <w:t xml:space="preserve"> </w:t>
      </w:r>
      <w:r w:rsidR="0039019C">
        <w:rPr>
          <w:rFonts w:ascii="Arial" w:hAnsi="Arial" w:cs="Arial"/>
        </w:rPr>
        <w:t>is assumed</w:t>
      </w:r>
      <w:r w:rsidR="00A50372">
        <w:rPr>
          <w:rFonts w:ascii="Arial" w:hAnsi="Arial" w:cs="Arial"/>
        </w:rPr>
        <w:t xml:space="preserve"> to</w:t>
      </w:r>
      <w:r>
        <w:rPr>
          <w:rFonts w:ascii="Arial" w:hAnsi="Arial" w:cs="Arial"/>
        </w:rPr>
        <w:t xml:space="preserve"> be a software upgrade on the network side</w:t>
      </w:r>
      <w:r w:rsidR="006A2CBC">
        <w:rPr>
          <w:rFonts w:ascii="Arial" w:hAnsi="Arial" w:cs="Arial"/>
        </w:rPr>
        <w:t>,</w:t>
      </w:r>
      <w:r>
        <w:rPr>
          <w:rFonts w:ascii="Arial" w:hAnsi="Arial" w:cs="Arial"/>
        </w:rPr>
        <w:t xml:space="preserve"> it is likely that </w:t>
      </w:r>
      <w:r w:rsidR="006A2CBC">
        <w:rPr>
          <w:rFonts w:ascii="Arial" w:hAnsi="Arial" w:cs="Arial"/>
        </w:rPr>
        <w:t>it</w:t>
      </w:r>
      <w:r>
        <w:rPr>
          <w:rFonts w:ascii="Arial" w:hAnsi="Arial" w:cs="Arial"/>
        </w:rPr>
        <w:t xml:space="preserve"> would be rolled out in </w:t>
      </w:r>
      <w:r w:rsidR="00861994">
        <w:rPr>
          <w:rFonts w:ascii="Arial" w:hAnsi="Arial" w:cs="Arial"/>
        </w:rPr>
        <w:t>all</w:t>
      </w:r>
      <w:r>
        <w:rPr>
          <w:rFonts w:ascii="Arial" w:hAnsi="Arial" w:cs="Arial"/>
        </w:rPr>
        <w:t xml:space="preserve"> cells </w:t>
      </w:r>
      <w:r w:rsidR="0039019C">
        <w:rPr>
          <w:rFonts w:ascii="Arial" w:hAnsi="Arial" w:cs="Arial"/>
        </w:rPr>
        <w:t>for</w:t>
      </w:r>
      <w:r>
        <w:rPr>
          <w:rFonts w:ascii="Arial" w:hAnsi="Arial" w:cs="Arial"/>
        </w:rPr>
        <w:t xml:space="preserve"> a </w:t>
      </w:r>
      <w:r w:rsidR="0039019C">
        <w:rPr>
          <w:rFonts w:ascii="Arial" w:hAnsi="Arial" w:cs="Arial"/>
        </w:rPr>
        <w:t xml:space="preserve">particular </w:t>
      </w:r>
      <w:r>
        <w:rPr>
          <w:rFonts w:ascii="Arial" w:hAnsi="Arial" w:cs="Arial"/>
        </w:rPr>
        <w:t>frequency.</w:t>
      </w:r>
      <w:r w:rsidR="009F2658">
        <w:rPr>
          <w:rFonts w:ascii="Arial" w:hAnsi="Arial" w:cs="Arial"/>
        </w:rPr>
        <w:t xml:space="preserve"> However, it may be the case that RedCap is only supported </w:t>
      </w:r>
      <w:r w:rsidR="008925DB">
        <w:rPr>
          <w:rFonts w:ascii="Arial" w:hAnsi="Arial" w:cs="Arial"/>
        </w:rPr>
        <w:t>in</w:t>
      </w:r>
      <w:r w:rsidR="009F2658">
        <w:rPr>
          <w:rFonts w:ascii="Arial" w:hAnsi="Arial" w:cs="Arial"/>
        </w:rPr>
        <w:t xml:space="preserve"> some frequencies, e.g.</w:t>
      </w:r>
      <w:r w:rsidR="00173731">
        <w:rPr>
          <w:rFonts w:ascii="Arial" w:hAnsi="Arial" w:cs="Arial"/>
        </w:rPr>
        <w:t>,</w:t>
      </w:r>
      <w:r w:rsidR="009F2658">
        <w:rPr>
          <w:rFonts w:ascii="Arial" w:hAnsi="Arial" w:cs="Arial"/>
        </w:rPr>
        <w:t xml:space="preserve"> RedCap is supported in a lower band for coverage and higher bands are reserved for MBB and higher data rates.</w:t>
      </w:r>
    </w:p>
    <w:p w14:paraId="4DD56026" w14:textId="77777777" w:rsidR="00540AEE" w:rsidRDefault="00540AEE" w:rsidP="00540AEE">
      <w:pPr>
        <w:keepNext/>
        <w:spacing w:before="120"/>
      </w:pPr>
      <w:r>
        <w:rPr>
          <w:noProof/>
        </w:rPr>
        <w:lastRenderedPageBreak/>
        <w:drawing>
          <wp:inline distT="0" distB="0" distL="0" distR="0" wp14:anchorId="73ECC1A1" wp14:editId="5CCD41E3">
            <wp:extent cx="5644736" cy="227555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75441" cy="2287934"/>
                    </a:xfrm>
                    <a:prstGeom prst="rect">
                      <a:avLst/>
                    </a:prstGeom>
                    <a:noFill/>
                  </pic:spPr>
                </pic:pic>
              </a:graphicData>
            </a:graphic>
          </wp:inline>
        </w:drawing>
      </w:r>
    </w:p>
    <w:p w14:paraId="63FBCC31" w14:textId="59D4A02B" w:rsidR="00540AEE" w:rsidRDefault="00540AEE" w:rsidP="00540AEE">
      <w:pPr>
        <w:pStyle w:val="Caption"/>
        <w:jc w:val="center"/>
        <w:rPr>
          <w:rFonts w:ascii="Arial" w:hAnsi="Arial" w:cs="Arial"/>
        </w:rPr>
      </w:pPr>
      <w:bookmarkStart w:id="15" w:name="_Ref90475017"/>
      <w:r w:rsidRPr="00861994">
        <w:rPr>
          <w:rFonts w:ascii="Arial" w:hAnsi="Arial" w:cs="Arial"/>
        </w:rPr>
        <w:t xml:space="preserve">Figure </w:t>
      </w:r>
      <w:r w:rsidRPr="00861994">
        <w:rPr>
          <w:rFonts w:ascii="Arial" w:hAnsi="Arial" w:cs="Arial"/>
        </w:rPr>
        <w:fldChar w:fldCharType="begin"/>
      </w:r>
      <w:r w:rsidRPr="00861994">
        <w:rPr>
          <w:rFonts w:ascii="Arial" w:hAnsi="Arial" w:cs="Arial"/>
        </w:rPr>
        <w:instrText xml:space="preserve"> SEQ Figure \* ARABIC </w:instrText>
      </w:r>
      <w:r w:rsidRPr="00861994">
        <w:rPr>
          <w:rFonts w:ascii="Arial" w:hAnsi="Arial" w:cs="Arial"/>
        </w:rPr>
        <w:fldChar w:fldCharType="separate"/>
      </w:r>
      <w:r w:rsidRPr="00861994">
        <w:rPr>
          <w:rFonts w:ascii="Arial" w:hAnsi="Arial" w:cs="Arial"/>
          <w:noProof/>
        </w:rPr>
        <w:t>1</w:t>
      </w:r>
      <w:r w:rsidRPr="00861994">
        <w:rPr>
          <w:rFonts w:ascii="Arial" w:hAnsi="Arial" w:cs="Arial"/>
        </w:rPr>
        <w:fldChar w:fldCharType="end"/>
      </w:r>
      <w:bookmarkEnd w:id="15"/>
      <w:r w:rsidRPr="00861994">
        <w:rPr>
          <w:rFonts w:ascii="Arial" w:hAnsi="Arial" w:cs="Arial"/>
        </w:rPr>
        <w:t>: Illustration of RedCap support in cells.</w:t>
      </w:r>
    </w:p>
    <w:p w14:paraId="7F831E8B" w14:textId="3221D431" w:rsidR="00097035" w:rsidRDefault="00CC01B5" w:rsidP="00097035">
      <w:pPr>
        <w:spacing w:before="120" w:after="240"/>
        <w:jc w:val="both"/>
        <w:rPr>
          <w:rFonts w:ascii="Arial" w:hAnsi="Arial" w:cs="Arial"/>
        </w:rPr>
      </w:pPr>
      <w:r>
        <w:rPr>
          <w:rFonts w:ascii="Arial" w:hAnsi="Arial" w:cs="Arial"/>
        </w:rPr>
        <w:t>I</w:t>
      </w:r>
      <w:r w:rsidR="00540AEE">
        <w:rPr>
          <w:rFonts w:ascii="Arial" w:hAnsi="Arial" w:cs="Arial"/>
        </w:rPr>
        <w:t>n</w:t>
      </w:r>
      <w:r>
        <w:rPr>
          <w:rFonts w:ascii="Arial" w:hAnsi="Arial" w:cs="Arial"/>
        </w:rPr>
        <w:t xml:space="preserve"> th</w:t>
      </w:r>
      <w:r w:rsidR="0039019C">
        <w:rPr>
          <w:rFonts w:ascii="Arial" w:hAnsi="Arial" w:cs="Arial"/>
        </w:rPr>
        <w:t>e</w:t>
      </w:r>
      <w:r>
        <w:rPr>
          <w:rFonts w:ascii="Arial" w:hAnsi="Arial" w:cs="Arial"/>
        </w:rPr>
        <w:t xml:space="preserve"> example</w:t>
      </w:r>
      <w:r w:rsidR="0039019C">
        <w:rPr>
          <w:rFonts w:ascii="Arial" w:hAnsi="Arial" w:cs="Arial"/>
        </w:rPr>
        <w:t xml:space="preserve"> shown above in Figure 1</w:t>
      </w:r>
      <w:r>
        <w:rPr>
          <w:rFonts w:ascii="Arial" w:hAnsi="Arial" w:cs="Arial"/>
        </w:rPr>
        <w:t xml:space="preserve">, considering that RedCap is supported in frequency 1 but not in frequency 2, a RedCap UE </w:t>
      </w:r>
      <w:r w:rsidR="0039019C">
        <w:rPr>
          <w:rFonts w:ascii="Arial" w:hAnsi="Arial" w:cs="Arial"/>
        </w:rPr>
        <w:t>may</w:t>
      </w:r>
      <w:r>
        <w:rPr>
          <w:rFonts w:ascii="Arial" w:hAnsi="Arial" w:cs="Arial"/>
        </w:rPr>
        <w:t xml:space="preserve"> at some point consider a cell in frequency 2 for camping but after reading SI realize that the cell does not support RedCap. However, from the RedCap specific IFRI in SIB1 the UE would </w:t>
      </w:r>
      <w:r w:rsidR="0039019C">
        <w:rPr>
          <w:rFonts w:ascii="Arial" w:hAnsi="Arial" w:cs="Arial"/>
        </w:rPr>
        <w:t xml:space="preserve">be able to </w:t>
      </w:r>
      <w:r>
        <w:rPr>
          <w:rFonts w:ascii="Arial" w:hAnsi="Arial" w:cs="Arial"/>
        </w:rPr>
        <w:t>understand that RedCap is not supported in frequency 2</w:t>
      </w:r>
      <w:r w:rsidR="003C508C">
        <w:rPr>
          <w:rFonts w:ascii="Arial" w:hAnsi="Arial" w:cs="Arial"/>
        </w:rPr>
        <w:t xml:space="preserve"> (i.e. from the legacy IFRI property of barring an entire frequency)</w:t>
      </w:r>
      <w:r>
        <w:rPr>
          <w:rFonts w:ascii="Arial" w:hAnsi="Arial" w:cs="Arial"/>
        </w:rPr>
        <w:t xml:space="preserve">. The IFRI </w:t>
      </w:r>
      <w:r w:rsidR="003C508C">
        <w:rPr>
          <w:rFonts w:ascii="Arial" w:hAnsi="Arial" w:cs="Arial"/>
        </w:rPr>
        <w:t xml:space="preserve">therefore </w:t>
      </w:r>
      <w:r>
        <w:rPr>
          <w:rFonts w:ascii="Arial" w:hAnsi="Arial" w:cs="Arial"/>
        </w:rPr>
        <w:t xml:space="preserve">ensures that SI is only read unnecessarily once and therefore there is </w:t>
      </w:r>
      <w:r w:rsidR="00EF6952">
        <w:rPr>
          <w:rFonts w:ascii="Arial" w:hAnsi="Arial" w:cs="Arial"/>
        </w:rPr>
        <w:t xml:space="preserve">an </w:t>
      </w:r>
      <w:r>
        <w:rPr>
          <w:rFonts w:ascii="Arial" w:hAnsi="Arial" w:cs="Arial"/>
        </w:rPr>
        <w:t xml:space="preserve">insignificant benefit of having RedCap support information of neighbour cells in SI. </w:t>
      </w:r>
    </w:p>
    <w:p w14:paraId="4C135700" w14:textId="4C6ED7E4" w:rsidR="00CC01B5" w:rsidRDefault="00EF6952" w:rsidP="00097035">
      <w:pPr>
        <w:pStyle w:val="Observation"/>
      </w:pPr>
      <w:bookmarkStart w:id="16" w:name="_Toc92708194"/>
      <w:r>
        <w:t xml:space="preserve">When RedCap is supported in an entire frequency band, RedCap specific IFRI in SIB1 can already provide the same gain as </w:t>
      </w:r>
      <w:r w:rsidRPr="00EF6952">
        <w:t>provid</w:t>
      </w:r>
      <w:r>
        <w:t>ing</w:t>
      </w:r>
      <w:r w:rsidRPr="00EF6952">
        <w:t xml:space="preserve"> information on which </w:t>
      </w:r>
      <w:r>
        <w:t xml:space="preserve">neighbour </w:t>
      </w:r>
      <w:r w:rsidRPr="00EF6952">
        <w:t>cells accept RedCap UE access</w:t>
      </w:r>
      <w:r w:rsidR="00476A85">
        <w:t xml:space="preserve"> in SI</w:t>
      </w:r>
      <w:r>
        <w:t>.</w:t>
      </w:r>
      <w:bookmarkEnd w:id="16"/>
      <w:r>
        <w:t xml:space="preserve"> </w:t>
      </w:r>
    </w:p>
    <w:p w14:paraId="684415D6" w14:textId="410F447B" w:rsidR="00627757" w:rsidRDefault="00C50A1C" w:rsidP="00097035">
      <w:pPr>
        <w:pStyle w:val="Comments"/>
        <w:spacing w:before="240"/>
        <w:jc w:val="both"/>
        <w:rPr>
          <w:i w:val="0"/>
          <w:iCs/>
          <w:sz w:val="20"/>
          <w:szCs w:val="22"/>
        </w:rPr>
      </w:pPr>
      <w:r>
        <w:rPr>
          <w:i w:val="0"/>
          <w:iCs/>
          <w:sz w:val="20"/>
          <w:szCs w:val="22"/>
        </w:rPr>
        <w:t>I</w:t>
      </w:r>
      <w:r w:rsidR="00774BFD" w:rsidRPr="00774BFD">
        <w:rPr>
          <w:i w:val="0"/>
          <w:iCs/>
          <w:sz w:val="20"/>
          <w:szCs w:val="22"/>
        </w:rPr>
        <w:t xml:space="preserve">n case some cells in a </w:t>
      </w:r>
      <w:r w:rsidR="00774BFD">
        <w:rPr>
          <w:i w:val="0"/>
          <w:iCs/>
          <w:sz w:val="20"/>
          <w:szCs w:val="22"/>
        </w:rPr>
        <w:t>frequency support RedCap but not others then such added info in SI could potentially be beneficial</w:t>
      </w:r>
      <w:r>
        <w:rPr>
          <w:i w:val="0"/>
          <w:iCs/>
          <w:sz w:val="20"/>
          <w:szCs w:val="22"/>
        </w:rPr>
        <w:t>.</w:t>
      </w:r>
      <w:r w:rsidR="003A12B0">
        <w:rPr>
          <w:i w:val="0"/>
          <w:iCs/>
          <w:sz w:val="20"/>
          <w:szCs w:val="22"/>
        </w:rPr>
        <w:t xml:space="preserve"> </w:t>
      </w:r>
      <w:r w:rsidR="003A12B0">
        <w:rPr>
          <w:i w:val="0"/>
          <w:iCs/>
          <w:sz w:val="20"/>
        </w:rPr>
        <w:t>However</w:t>
      </w:r>
      <w:r w:rsidR="00C62481">
        <w:rPr>
          <w:i w:val="0"/>
          <w:iCs/>
          <w:sz w:val="20"/>
        </w:rPr>
        <w:t xml:space="preserve">, in practice UEs tend to move in the same patterns and between the same cells. In UE implementation whether a cell supports RedCap or not could therefore be stored in UE memory to be used later. </w:t>
      </w:r>
    </w:p>
    <w:p w14:paraId="01C2F389" w14:textId="77777777" w:rsidR="00E25C9A" w:rsidRDefault="00E25C9A" w:rsidP="00097035">
      <w:pPr>
        <w:pStyle w:val="Comments"/>
        <w:jc w:val="both"/>
      </w:pPr>
    </w:p>
    <w:p w14:paraId="53E90785" w14:textId="72020B34" w:rsidR="00186784" w:rsidRDefault="00186784" w:rsidP="00097035">
      <w:pPr>
        <w:jc w:val="both"/>
        <w:rPr>
          <w:rFonts w:ascii="Arial" w:hAnsi="Arial" w:cs="Arial"/>
        </w:rPr>
      </w:pPr>
      <w:r>
        <w:rPr>
          <w:rFonts w:ascii="Arial" w:hAnsi="Arial" w:cs="Arial"/>
        </w:rPr>
        <w:t>Further, looking at the contents of SIB3</w:t>
      </w:r>
      <w:r w:rsidR="00E84A07">
        <w:rPr>
          <w:rFonts w:ascii="Arial" w:hAnsi="Arial" w:cs="Arial"/>
        </w:rPr>
        <w:t xml:space="preserve"> and SIB4</w:t>
      </w:r>
      <w:r>
        <w:rPr>
          <w:rFonts w:ascii="Arial" w:hAnsi="Arial" w:cs="Arial"/>
        </w:rPr>
        <w:t xml:space="preserve">, it is not indicated if any other feature is supported in neighbouring cells. </w:t>
      </w:r>
      <w:r w:rsidR="00E84A07">
        <w:rPr>
          <w:rFonts w:ascii="Arial" w:hAnsi="Arial" w:cs="Arial"/>
        </w:rPr>
        <w:t xml:space="preserve">That is, currently there is no feature specific content at all in SIB3 or SIB4. </w:t>
      </w:r>
      <w:r w:rsidR="0021580C">
        <w:rPr>
          <w:rFonts w:ascii="Arial" w:hAnsi="Arial" w:cs="Arial"/>
        </w:rPr>
        <w:t>(</w:t>
      </w:r>
      <w:r>
        <w:rPr>
          <w:rFonts w:ascii="Arial" w:hAnsi="Arial" w:cs="Arial"/>
        </w:rPr>
        <w:t>At least for URLLC the situation should be the same that unless supported the cell cannot provide the intended service to the UE at all</w:t>
      </w:r>
      <w:r w:rsidR="0021580C">
        <w:rPr>
          <w:rFonts w:ascii="Arial" w:hAnsi="Arial" w:cs="Arial"/>
        </w:rPr>
        <w:t>)</w:t>
      </w:r>
      <w:r>
        <w:rPr>
          <w:rFonts w:ascii="Arial" w:hAnsi="Arial" w:cs="Arial"/>
        </w:rPr>
        <w:t>.</w:t>
      </w:r>
      <w:r w:rsidR="00FA45D6">
        <w:rPr>
          <w:rFonts w:ascii="Arial" w:hAnsi="Arial" w:cs="Arial"/>
        </w:rPr>
        <w:t xml:space="preserve"> If this information is added for RedCap in Rel-17 it opens up for adding similar assistance information for other features and the increased size of SIB3 </w:t>
      </w:r>
      <w:r w:rsidR="0021580C">
        <w:rPr>
          <w:rFonts w:ascii="Arial" w:hAnsi="Arial" w:cs="Arial"/>
        </w:rPr>
        <w:t xml:space="preserve">and SIB4 </w:t>
      </w:r>
      <w:r w:rsidR="00FA45D6">
        <w:rPr>
          <w:rFonts w:ascii="Arial" w:hAnsi="Arial" w:cs="Arial"/>
        </w:rPr>
        <w:t>will have a negative impact on all UEs, including legacy.</w:t>
      </w:r>
    </w:p>
    <w:p w14:paraId="5140B05F" w14:textId="29D280FF" w:rsidR="00FA45D6" w:rsidRPr="00F14FEB" w:rsidRDefault="00E84A07" w:rsidP="00097035">
      <w:pPr>
        <w:pStyle w:val="Observation"/>
        <w:spacing w:after="240"/>
      </w:pPr>
      <w:bookmarkStart w:id="17" w:name="_Toc92708195"/>
      <w:r>
        <w:t xml:space="preserve">Currently SIB3 and SIB4 do not contain any feature specific information at all and adding </w:t>
      </w:r>
      <w:r w:rsidR="00FA45D6">
        <w:t xml:space="preserve">RedCap info </w:t>
      </w:r>
      <w:r w:rsidR="00CB30D8">
        <w:t xml:space="preserve">(and assistance info for other features) will </w:t>
      </w:r>
      <w:r w:rsidR="00C67A82">
        <w:t>lead to</w:t>
      </w:r>
      <w:r w:rsidR="00FA45D6">
        <w:t xml:space="preserve"> increased SI size </w:t>
      </w:r>
      <w:r w:rsidR="00CB30D8">
        <w:t xml:space="preserve">which </w:t>
      </w:r>
      <w:r w:rsidR="00FA45D6">
        <w:t>will have negative impact on both UE and system performance.</w:t>
      </w:r>
      <w:bookmarkEnd w:id="17"/>
    </w:p>
    <w:p w14:paraId="21B53FFE" w14:textId="340C38BA" w:rsidR="001C23A7" w:rsidRDefault="001C23A7" w:rsidP="00097035">
      <w:pPr>
        <w:jc w:val="both"/>
        <w:rPr>
          <w:rFonts w:ascii="Arial" w:hAnsi="Arial" w:cs="Arial"/>
        </w:rPr>
      </w:pPr>
      <w:r w:rsidRPr="001C23A7">
        <w:rPr>
          <w:rFonts w:ascii="Arial" w:hAnsi="Arial" w:cs="Arial"/>
        </w:rPr>
        <w:t>Therefore</w:t>
      </w:r>
      <w:r>
        <w:rPr>
          <w:rFonts w:ascii="Arial" w:hAnsi="Arial" w:cs="Arial"/>
        </w:rPr>
        <w:t>, we conclude the following:</w:t>
      </w:r>
    </w:p>
    <w:p w14:paraId="199BF2DA" w14:textId="0A6250E2" w:rsidR="001C23A7" w:rsidRDefault="0021580C" w:rsidP="00097035">
      <w:pPr>
        <w:pStyle w:val="Observation"/>
      </w:pPr>
      <w:bookmarkStart w:id="18" w:name="_Toc92708196"/>
      <w:r>
        <w:t>Similar</w:t>
      </w:r>
      <w:r w:rsidR="001C23A7">
        <w:t xml:space="preserve"> gains as </w:t>
      </w:r>
      <w:r w:rsidR="001C23A7" w:rsidRPr="001C23A7">
        <w:t xml:space="preserve">providing information on </w:t>
      </w:r>
      <w:r>
        <w:t>if</w:t>
      </w:r>
      <w:r w:rsidR="001C23A7" w:rsidRPr="001C23A7">
        <w:t xml:space="preserve"> neighbour cells </w:t>
      </w:r>
      <w:r>
        <w:t>support</w:t>
      </w:r>
      <w:r w:rsidR="001C23A7" w:rsidRPr="001C23A7">
        <w:t xml:space="preserve"> RedCap in SI could be achieved </w:t>
      </w:r>
      <w:r w:rsidR="001C23A7">
        <w:t>by RedCap specific IFRI and</w:t>
      </w:r>
      <w:r>
        <w:t>/or</w:t>
      </w:r>
      <w:r w:rsidR="001C23A7">
        <w:t xml:space="preserve"> through</w:t>
      </w:r>
      <w:r w:rsidR="001C23A7" w:rsidRPr="001C23A7">
        <w:t xml:space="preserve"> UE implementation</w:t>
      </w:r>
      <w:r>
        <w:t>,</w:t>
      </w:r>
      <w:r w:rsidR="001C23A7">
        <w:t xml:space="preserve"> without any specification impact</w:t>
      </w:r>
      <w:r>
        <w:t xml:space="preserve"> and negative impact from increases SI size</w:t>
      </w:r>
      <w:r w:rsidR="001C23A7">
        <w:t>.</w:t>
      </w:r>
      <w:bookmarkEnd w:id="18"/>
    </w:p>
    <w:p w14:paraId="586FCFD7" w14:textId="625B50B9" w:rsidR="001C23A7" w:rsidRPr="001C23A7" w:rsidRDefault="00F914B9" w:rsidP="00097035">
      <w:pPr>
        <w:pStyle w:val="Proposal"/>
      </w:pPr>
      <w:bookmarkStart w:id="19" w:name="_Toc92708207"/>
      <w:r>
        <w:t>I</w:t>
      </w:r>
      <w:r w:rsidR="001C23A7" w:rsidRPr="001C23A7">
        <w:t xml:space="preserve">nformation on which neighbour cells accept RedCap UE access </w:t>
      </w:r>
      <w:r w:rsidR="001C23A7">
        <w:t xml:space="preserve">is </w:t>
      </w:r>
      <w:r w:rsidR="001C23A7" w:rsidRPr="001C23A7">
        <w:rPr>
          <w:u w:val="single"/>
        </w:rPr>
        <w:t>not</w:t>
      </w:r>
      <w:r w:rsidR="001C23A7">
        <w:t xml:space="preserve"> </w:t>
      </w:r>
      <w:r>
        <w:t>provided in system information broadcast</w:t>
      </w:r>
      <w:r w:rsidR="001C23A7">
        <w:t>.</w:t>
      </w:r>
      <w:bookmarkEnd w:id="19"/>
    </w:p>
    <w:p w14:paraId="22E4A53F" w14:textId="3E7F2CCA" w:rsidR="00A06E80" w:rsidRPr="00A06E80" w:rsidRDefault="00767A36" w:rsidP="00097035">
      <w:pPr>
        <w:jc w:val="both"/>
      </w:pPr>
      <w:r>
        <w:rPr>
          <w:rFonts w:ascii="Calibri" w:hAnsi="Calibri"/>
          <w:color w:val="4472C4"/>
        </w:rPr>
        <w:t xml:space="preserve"> </w:t>
      </w:r>
    </w:p>
    <w:p w14:paraId="689CEF97" w14:textId="6C6A7747" w:rsidR="0023537E" w:rsidRDefault="001D5142" w:rsidP="00097035">
      <w:pPr>
        <w:pStyle w:val="Heading2"/>
        <w:jc w:val="both"/>
      </w:pPr>
      <w:r>
        <w:t>3.3</w:t>
      </w:r>
      <w:r w:rsidR="000C663E">
        <w:tab/>
      </w:r>
      <w:r w:rsidR="0023537E">
        <w:t>RedCap specific cell selection criteria</w:t>
      </w:r>
    </w:p>
    <w:p w14:paraId="0129DBF8" w14:textId="06B2FC5E" w:rsidR="00D5333C" w:rsidRDefault="00546778" w:rsidP="00097035">
      <w:pPr>
        <w:jc w:val="both"/>
        <w:rPr>
          <w:rFonts w:ascii="Arial" w:hAnsi="Arial" w:cs="Arial"/>
        </w:rPr>
      </w:pPr>
      <w:r>
        <w:rPr>
          <w:rFonts w:ascii="Arial" w:hAnsi="Arial" w:cs="Arial"/>
        </w:rPr>
        <w:t>In o</w:t>
      </w:r>
      <w:r w:rsidR="00D5333C">
        <w:rPr>
          <w:rFonts w:ascii="Arial" w:hAnsi="Arial" w:cs="Arial"/>
        </w:rPr>
        <w:t>ffline [110]</w:t>
      </w:r>
      <w:r>
        <w:rPr>
          <w:rFonts w:ascii="Arial" w:hAnsi="Arial" w:cs="Arial"/>
        </w:rPr>
        <w:t xml:space="preserve"> there was also an agreement to </w:t>
      </w:r>
      <w:r w:rsidR="00D5333C">
        <w:rPr>
          <w:rFonts w:ascii="Arial" w:hAnsi="Arial" w:cs="Arial"/>
        </w:rPr>
        <w:t>postpone the discussion on RedCap specific cell selection parameters:</w:t>
      </w:r>
    </w:p>
    <w:tbl>
      <w:tblPr>
        <w:tblStyle w:val="TableGrid"/>
        <w:tblW w:w="0" w:type="auto"/>
        <w:tblLook w:val="04A0" w:firstRow="1" w:lastRow="0" w:firstColumn="1" w:lastColumn="0" w:noHBand="0" w:noVBand="1"/>
      </w:tblPr>
      <w:tblGrid>
        <w:gridCol w:w="9629"/>
      </w:tblGrid>
      <w:tr w:rsidR="00546778" w14:paraId="6A7669C1" w14:textId="77777777" w:rsidTr="00546778">
        <w:tc>
          <w:tcPr>
            <w:tcW w:w="9629" w:type="dxa"/>
          </w:tcPr>
          <w:p w14:paraId="1FC8E929" w14:textId="77777777" w:rsidR="00546778" w:rsidRDefault="00546778" w:rsidP="00097035">
            <w:pPr>
              <w:pStyle w:val="Comments"/>
              <w:spacing w:before="120"/>
              <w:jc w:val="both"/>
            </w:pPr>
            <w:r>
              <w:lastRenderedPageBreak/>
              <w:t>Proposal 11: [To discuss] RAN2 deprioritize/postpone the discussion on the RedCap specific cell selection related parameters.</w:t>
            </w:r>
          </w:p>
          <w:p w14:paraId="2722507C" w14:textId="3456C16A" w:rsidR="00546778" w:rsidRPr="00546778" w:rsidRDefault="00546778" w:rsidP="00097035">
            <w:pPr>
              <w:pStyle w:val="Doc-text2"/>
              <w:numPr>
                <w:ilvl w:val="0"/>
                <w:numId w:val="35"/>
              </w:numPr>
              <w:overflowPunct/>
              <w:autoSpaceDE/>
              <w:adjustRightInd/>
              <w:spacing w:after="120"/>
              <w:ind w:left="1616" w:hanging="357"/>
              <w:jc w:val="both"/>
              <w:textAlignment w:val="auto"/>
              <w:rPr>
                <w:sz w:val="20"/>
                <w:szCs w:val="22"/>
              </w:rPr>
            </w:pPr>
            <w:r w:rsidRPr="00546778">
              <w:rPr>
                <w:sz w:val="20"/>
                <w:szCs w:val="22"/>
              </w:rPr>
              <w:t>Postponed</w:t>
            </w:r>
          </w:p>
        </w:tc>
      </w:tr>
    </w:tbl>
    <w:p w14:paraId="5EEEA579" w14:textId="1112A53F" w:rsidR="00546778" w:rsidRDefault="00546778" w:rsidP="00097035">
      <w:pPr>
        <w:spacing w:before="120"/>
        <w:jc w:val="both"/>
        <w:rPr>
          <w:rFonts w:ascii="Arial" w:hAnsi="Arial" w:cs="Arial"/>
        </w:rPr>
      </w:pPr>
      <w:r>
        <w:rPr>
          <w:rFonts w:ascii="Arial" w:hAnsi="Arial" w:cs="Arial"/>
        </w:rPr>
        <w:t>Earlier in offline [104] the following options where discussed:</w:t>
      </w:r>
    </w:p>
    <w:p w14:paraId="45CE0613" w14:textId="760EFE29" w:rsidR="00546778" w:rsidRPr="00546778" w:rsidRDefault="00546778" w:rsidP="00097035">
      <w:pPr>
        <w:ind w:left="567"/>
        <w:jc w:val="both"/>
        <w:rPr>
          <w:rFonts w:ascii="Arial" w:hAnsi="Arial" w:cs="Arial"/>
        </w:rPr>
      </w:pPr>
      <w:r w:rsidRPr="00546778">
        <w:rPr>
          <w:rFonts w:ascii="Arial" w:hAnsi="Arial" w:cs="Arial"/>
        </w:rPr>
        <w:t>1.</w:t>
      </w:r>
      <w:r w:rsidRPr="00546778">
        <w:rPr>
          <w:rFonts w:ascii="Arial" w:hAnsi="Arial" w:cs="Arial"/>
        </w:rPr>
        <w:tab/>
        <w:t>Introduce RedCap specific cell (re)selection parameters</w:t>
      </w:r>
    </w:p>
    <w:p w14:paraId="0BCBE504" w14:textId="4B6ED5DB" w:rsidR="00546778" w:rsidRPr="00546778" w:rsidRDefault="00546778" w:rsidP="00097035">
      <w:pPr>
        <w:ind w:left="567"/>
        <w:jc w:val="both"/>
        <w:rPr>
          <w:rFonts w:ascii="Arial" w:hAnsi="Arial" w:cs="Arial"/>
        </w:rPr>
      </w:pPr>
      <w:r w:rsidRPr="00546778">
        <w:rPr>
          <w:rFonts w:ascii="Arial" w:hAnsi="Arial" w:cs="Arial"/>
        </w:rPr>
        <w:t>2.</w:t>
      </w:r>
      <w:r w:rsidRPr="00546778">
        <w:rPr>
          <w:rFonts w:ascii="Arial" w:hAnsi="Arial" w:cs="Arial"/>
        </w:rPr>
        <w:tab/>
        <w:t>Optionally configure separate Q</w:t>
      </w:r>
      <w:r w:rsidRPr="00C6701E">
        <w:rPr>
          <w:rFonts w:ascii="Arial" w:hAnsi="Arial" w:cs="Arial"/>
          <w:vertAlign w:val="subscript"/>
        </w:rPr>
        <w:t>rxlevmin</w:t>
      </w:r>
      <w:r w:rsidRPr="00546778">
        <w:rPr>
          <w:rFonts w:ascii="Arial" w:hAnsi="Arial" w:cs="Arial"/>
        </w:rPr>
        <w:t xml:space="preserve"> and Q</w:t>
      </w:r>
      <w:r w:rsidR="002B250C" w:rsidRPr="00C6701E">
        <w:rPr>
          <w:rFonts w:ascii="Arial" w:hAnsi="Arial" w:cs="Arial"/>
          <w:vertAlign w:val="subscript"/>
        </w:rPr>
        <w:t>q</w:t>
      </w:r>
      <w:r w:rsidRPr="00C6701E">
        <w:rPr>
          <w:rFonts w:ascii="Arial" w:hAnsi="Arial" w:cs="Arial"/>
          <w:vertAlign w:val="subscript"/>
        </w:rPr>
        <w:t>ualmin</w:t>
      </w:r>
    </w:p>
    <w:p w14:paraId="135A0E2C" w14:textId="38394F4D" w:rsidR="00546778" w:rsidRDefault="00546778" w:rsidP="00097035">
      <w:pPr>
        <w:ind w:left="567"/>
        <w:jc w:val="both"/>
        <w:rPr>
          <w:rFonts w:ascii="Arial" w:hAnsi="Arial" w:cs="Arial"/>
        </w:rPr>
      </w:pPr>
      <w:r w:rsidRPr="00546778">
        <w:rPr>
          <w:rFonts w:ascii="Arial" w:hAnsi="Arial" w:cs="Arial"/>
        </w:rPr>
        <w:t>3.</w:t>
      </w:r>
      <w:r w:rsidRPr="00546778">
        <w:rPr>
          <w:rFonts w:ascii="Arial" w:hAnsi="Arial" w:cs="Arial"/>
        </w:rPr>
        <w:tab/>
        <w:t>RedCap UEs can be configured with separate cell (re)selection priorities</w:t>
      </w:r>
    </w:p>
    <w:p w14:paraId="70504663" w14:textId="1B7E311F" w:rsidR="00546778" w:rsidRDefault="00546778" w:rsidP="00097035">
      <w:pPr>
        <w:jc w:val="both"/>
        <w:rPr>
          <w:rFonts w:ascii="Arial" w:hAnsi="Arial" w:cs="Arial"/>
        </w:rPr>
      </w:pPr>
      <w:r>
        <w:rPr>
          <w:rFonts w:ascii="Arial" w:hAnsi="Arial" w:cs="Arial"/>
        </w:rPr>
        <w:t>W</w:t>
      </w:r>
      <w:r w:rsidR="006B08C3">
        <w:rPr>
          <w:rFonts w:ascii="Arial" w:hAnsi="Arial" w:cs="Arial"/>
        </w:rPr>
        <w:t>ith the overall low interest in RedCap specific enhancements in this area, we don’t think 3), RedCap specific (re)selection priorities, should be introduced in Rel-17. However, with regards to 1) and 2) there is a risk that RedCap UEs with 1 Rx branch will effectively see a smaller cell size and it could be worth introducing a compensation term to be able to configure the cell to have the same coverage irrespective of the number of Rx branches.</w:t>
      </w:r>
    </w:p>
    <w:p w14:paraId="5762204F" w14:textId="27064120" w:rsidR="004C6C45" w:rsidRDefault="004C6C45" w:rsidP="00097035">
      <w:pPr>
        <w:jc w:val="both"/>
        <w:rPr>
          <w:rFonts w:ascii="Arial" w:hAnsi="Arial" w:cs="Arial"/>
        </w:rPr>
      </w:pPr>
      <w:r>
        <w:rPr>
          <w:rFonts w:ascii="Arial" w:hAnsi="Arial" w:cs="Arial"/>
        </w:rPr>
        <w:t>Measurement requirements in RAN4 are defined for 2 Rx branches. So, in legacy also for UEs with more than 2 Rx, RRM measurement requirements are still defined using 2 Rx branches (which is also less energy consuming for the UE). Using fewer Rx antennas t</w:t>
      </w:r>
      <w:r w:rsidR="00B834ED">
        <w:rPr>
          <w:rFonts w:ascii="Arial" w:hAnsi="Arial" w:cs="Arial"/>
        </w:rPr>
        <w:t>h</w:t>
      </w:r>
      <w:r>
        <w:rPr>
          <w:rFonts w:ascii="Arial" w:hAnsi="Arial" w:cs="Arial"/>
        </w:rPr>
        <w:t>an 2 will lead to both less energy received (i.e. lower RSRP) and more inaccurate measurements (bigger RSRP error). Therefore, a compensation term is required in cell selection criteria for UEs with less than 2 Rx antennas</w:t>
      </w:r>
      <w:r w:rsidR="0012297F">
        <w:rPr>
          <w:rFonts w:ascii="Arial" w:hAnsi="Arial" w:cs="Arial"/>
        </w:rPr>
        <w:t xml:space="preserve"> or they will effectively experience a small cell size</w:t>
      </w:r>
      <w:r>
        <w:rPr>
          <w:rFonts w:ascii="Arial" w:hAnsi="Arial" w:cs="Arial"/>
        </w:rPr>
        <w:t>.</w:t>
      </w:r>
    </w:p>
    <w:p w14:paraId="208812EB" w14:textId="1225D28B" w:rsidR="00D0037C" w:rsidRDefault="00D0037C" w:rsidP="00097035">
      <w:pPr>
        <w:jc w:val="both"/>
        <w:rPr>
          <w:rFonts w:ascii="Arial" w:hAnsi="Arial" w:cs="Arial"/>
        </w:rPr>
      </w:pPr>
      <w:r>
        <w:rPr>
          <w:rFonts w:ascii="Arial" w:hAnsi="Arial" w:cs="Arial"/>
        </w:rPr>
        <w:t>For LTE-M and NB-IoT, which provided a 20 dB coverage improvement compared to baseline LTE, cell (re)selection criteria were modified in the following way:</w:t>
      </w:r>
    </w:p>
    <w:tbl>
      <w:tblPr>
        <w:tblStyle w:val="TableGrid"/>
        <w:tblW w:w="0" w:type="auto"/>
        <w:tblLook w:val="04A0" w:firstRow="1" w:lastRow="0" w:firstColumn="1" w:lastColumn="0" w:noHBand="0" w:noVBand="1"/>
      </w:tblPr>
      <w:tblGrid>
        <w:gridCol w:w="9629"/>
      </w:tblGrid>
      <w:tr w:rsidR="00D0037C" w14:paraId="5C17FC43" w14:textId="77777777" w:rsidTr="00D0037C">
        <w:tc>
          <w:tcPr>
            <w:tcW w:w="9629" w:type="dxa"/>
          </w:tcPr>
          <w:p w14:paraId="04F7B3BD" w14:textId="77777777" w:rsidR="00384E6D" w:rsidRDefault="00384E6D" w:rsidP="00097035">
            <w:pPr>
              <w:spacing w:before="120"/>
              <w:jc w:val="both"/>
              <w:rPr>
                <w:rFonts w:eastAsia="MS Mincho"/>
                <w:sz w:val="20"/>
                <w:lang w:val="en-GB"/>
              </w:rPr>
            </w:pPr>
            <w:r>
              <w:rPr>
                <w:rFonts w:eastAsia="MS Mincho"/>
                <w:sz w:val="20"/>
                <w:lang w:val="en-GB"/>
              </w:rPr>
              <w:t>If cell selection criterion S</w:t>
            </w:r>
            <w:r>
              <w:rPr>
                <w:rFonts w:eastAsia="MS Mincho"/>
                <w:sz w:val="20"/>
                <w:lang w:val="en-GB" w:eastAsia="zh-CN"/>
              </w:rPr>
              <w:t xml:space="preserve"> in normal coverage</w:t>
            </w:r>
            <w:r>
              <w:rPr>
                <w:rFonts w:eastAsia="MS Mincho"/>
                <w:sz w:val="20"/>
                <w:lang w:val="en-GB"/>
              </w:rPr>
              <w:t xml:space="preserve"> is not fulfilled for a cell, UE shall consider itself to be in enhanced coverage</w:t>
            </w:r>
            <w:r>
              <w:rPr>
                <w:rFonts w:eastAsia="MS Mincho"/>
                <w:sz w:val="20"/>
                <w:lang w:val="en-GB" w:eastAsia="zh-CN"/>
              </w:rPr>
              <w:t xml:space="preserve"> </w:t>
            </w:r>
            <w:r>
              <w:rPr>
                <w:rFonts w:eastAsia="MS Mincho"/>
                <w:sz w:val="20"/>
                <w:lang w:val="en-GB"/>
              </w:rPr>
              <w:t>if the</w:t>
            </w:r>
            <w:r>
              <w:rPr>
                <w:rFonts w:eastAsia="MS Mincho"/>
                <w:sz w:val="20"/>
                <w:lang w:val="en-GB" w:eastAsia="zh-CN"/>
              </w:rPr>
              <w:t xml:space="preserve"> </w:t>
            </w:r>
            <w:r>
              <w:rPr>
                <w:rFonts w:eastAsia="MS Mincho"/>
                <w:sz w:val="20"/>
                <w:lang w:val="en-GB"/>
              </w:rPr>
              <w:t>cell selection criterion S</w:t>
            </w:r>
            <w:r>
              <w:rPr>
                <w:rFonts w:eastAsia="MS Mincho"/>
                <w:sz w:val="20"/>
                <w:lang w:val="en-GB" w:eastAsia="zh-CN"/>
              </w:rPr>
              <w:t xml:space="preserve"> for enhanced coverage</w:t>
            </w:r>
            <w:r>
              <w:rPr>
                <w:rFonts w:eastAsia="MS Mincho"/>
                <w:sz w:val="20"/>
                <w:lang w:val="en-GB"/>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812"/>
            </w:tblGrid>
            <w:tr w:rsidR="00384E6D" w14:paraId="6B8DBDB8" w14:textId="77777777" w:rsidTr="00384E6D">
              <w:trPr>
                <w:trHeight w:val="240"/>
              </w:trPr>
              <w:tc>
                <w:tcPr>
                  <w:tcW w:w="2126" w:type="dxa"/>
                  <w:tcBorders>
                    <w:top w:val="single" w:sz="4" w:space="0" w:color="auto"/>
                    <w:left w:val="single" w:sz="4" w:space="0" w:color="auto"/>
                    <w:bottom w:val="single" w:sz="4" w:space="0" w:color="auto"/>
                    <w:right w:val="single" w:sz="4" w:space="0" w:color="auto"/>
                  </w:tcBorders>
                  <w:hideMark/>
                </w:tcPr>
                <w:p w14:paraId="2DB6FBC1" w14:textId="77777777" w:rsidR="00384E6D" w:rsidRDefault="00384E6D" w:rsidP="00097035">
                  <w:pPr>
                    <w:keepNext/>
                    <w:keepLines/>
                    <w:numPr>
                      <w:ilvl w:val="0"/>
                      <w:numId w:val="49"/>
                    </w:numPr>
                    <w:overflowPunct/>
                    <w:autoSpaceDE/>
                    <w:autoSpaceDN/>
                    <w:adjustRightInd/>
                    <w:ind w:left="0" w:firstLine="0"/>
                    <w:jc w:val="both"/>
                    <w:textAlignment w:val="auto"/>
                    <w:rPr>
                      <w:rFonts w:ascii="Arial" w:eastAsia="MS Mincho" w:hAnsi="Arial"/>
                      <w:sz w:val="18"/>
                      <w:lang w:eastAsia="en-US"/>
                    </w:rPr>
                  </w:pPr>
                  <w:r>
                    <w:rPr>
                      <w:rFonts w:eastAsia="MS Mincho"/>
                      <w:sz w:val="18"/>
                    </w:rPr>
                    <w:t>Q</w:t>
                  </w:r>
                  <w:r>
                    <w:rPr>
                      <w:rFonts w:eastAsia="MS Mincho"/>
                      <w:sz w:val="18"/>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5FE4E763" w14:textId="77777777" w:rsidR="00384E6D" w:rsidRDefault="00384E6D" w:rsidP="00097035">
                  <w:pPr>
                    <w:keepNext/>
                    <w:keepLines/>
                    <w:numPr>
                      <w:ilvl w:val="0"/>
                      <w:numId w:val="49"/>
                    </w:numPr>
                    <w:overflowPunct/>
                    <w:autoSpaceDE/>
                    <w:autoSpaceDN/>
                    <w:adjustRightInd/>
                    <w:ind w:left="0" w:firstLine="0"/>
                    <w:jc w:val="both"/>
                    <w:textAlignment w:val="auto"/>
                    <w:rPr>
                      <w:rFonts w:eastAsia="MS Mincho"/>
                      <w:sz w:val="18"/>
                    </w:rPr>
                  </w:pPr>
                  <w:r>
                    <w:rPr>
                      <w:rFonts w:eastAsia="MS Mincho"/>
                      <w:sz w:val="18"/>
                    </w:rPr>
                    <w:t xml:space="preserve">UE applies </w:t>
                  </w:r>
                  <w:r>
                    <w:rPr>
                      <w:rFonts w:eastAsia="MS Mincho"/>
                      <w:sz w:val="18"/>
                      <w:lang w:eastAsia="zh-CN"/>
                    </w:rPr>
                    <w:t>coverage</w:t>
                  </w:r>
                  <w:r>
                    <w:rPr>
                      <w:rFonts w:eastAsia="MS Mincho"/>
                      <w:sz w:val="18"/>
                    </w:rPr>
                    <w:t xml:space="preserve"> specific value Q</w:t>
                  </w:r>
                  <w:r>
                    <w:rPr>
                      <w:rFonts w:eastAsia="MS Mincho"/>
                      <w:sz w:val="18"/>
                      <w:vertAlign w:val="subscript"/>
                    </w:rPr>
                    <w:t>rxlevmin_CE</w:t>
                  </w:r>
                  <w:r>
                    <w:rPr>
                      <w:rFonts w:eastAsia="MS Mincho"/>
                      <w:sz w:val="18"/>
                    </w:rPr>
                    <w:t xml:space="preserve"> (dBm)</w:t>
                  </w:r>
                </w:p>
              </w:tc>
            </w:tr>
            <w:tr w:rsidR="00384E6D" w14:paraId="5196301D" w14:textId="77777777" w:rsidTr="00384E6D">
              <w:trPr>
                <w:trHeight w:val="50"/>
              </w:trPr>
              <w:tc>
                <w:tcPr>
                  <w:tcW w:w="2126" w:type="dxa"/>
                  <w:tcBorders>
                    <w:top w:val="single" w:sz="4" w:space="0" w:color="auto"/>
                    <w:left w:val="single" w:sz="4" w:space="0" w:color="auto"/>
                    <w:bottom w:val="single" w:sz="4" w:space="0" w:color="auto"/>
                    <w:right w:val="single" w:sz="4" w:space="0" w:color="auto"/>
                  </w:tcBorders>
                  <w:hideMark/>
                </w:tcPr>
                <w:p w14:paraId="37B4263E" w14:textId="77777777" w:rsidR="00384E6D" w:rsidRDefault="00384E6D" w:rsidP="00097035">
                  <w:pPr>
                    <w:keepNext/>
                    <w:keepLines/>
                    <w:numPr>
                      <w:ilvl w:val="0"/>
                      <w:numId w:val="49"/>
                    </w:numPr>
                    <w:overflowPunct/>
                    <w:autoSpaceDE/>
                    <w:autoSpaceDN/>
                    <w:adjustRightInd/>
                    <w:ind w:left="0" w:firstLine="0"/>
                    <w:jc w:val="both"/>
                    <w:textAlignment w:val="auto"/>
                    <w:rPr>
                      <w:rFonts w:eastAsia="MS Mincho"/>
                      <w:sz w:val="18"/>
                    </w:rPr>
                  </w:pPr>
                  <w:r>
                    <w:rPr>
                      <w:rFonts w:eastAsia="MS Mincho"/>
                      <w:sz w:val="18"/>
                    </w:rPr>
                    <w:t>Q</w:t>
                  </w:r>
                  <w:r>
                    <w:rPr>
                      <w:rFonts w:eastAsia="MS Mincho"/>
                      <w:sz w:val="18"/>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152BEFAB" w14:textId="77777777" w:rsidR="00384E6D" w:rsidRDefault="00384E6D" w:rsidP="00097035">
                  <w:pPr>
                    <w:keepNext/>
                    <w:keepLines/>
                    <w:numPr>
                      <w:ilvl w:val="0"/>
                      <w:numId w:val="49"/>
                    </w:numPr>
                    <w:overflowPunct/>
                    <w:autoSpaceDE/>
                    <w:autoSpaceDN/>
                    <w:adjustRightInd/>
                    <w:ind w:left="0" w:firstLine="0"/>
                    <w:jc w:val="both"/>
                    <w:textAlignment w:val="auto"/>
                    <w:rPr>
                      <w:rFonts w:eastAsia="MS Mincho"/>
                      <w:sz w:val="18"/>
                    </w:rPr>
                  </w:pPr>
                  <w:r>
                    <w:rPr>
                      <w:rFonts w:eastAsia="MS Mincho"/>
                      <w:sz w:val="18"/>
                    </w:rPr>
                    <w:t xml:space="preserve">UE applies </w:t>
                  </w:r>
                  <w:r>
                    <w:rPr>
                      <w:rFonts w:eastAsia="MS Mincho"/>
                      <w:sz w:val="18"/>
                      <w:lang w:eastAsia="zh-CN"/>
                    </w:rPr>
                    <w:t>coverage</w:t>
                  </w:r>
                  <w:r>
                    <w:rPr>
                      <w:rFonts w:eastAsia="MS Mincho"/>
                      <w:sz w:val="18"/>
                    </w:rPr>
                    <w:t xml:space="preserve"> specific value Q</w:t>
                  </w:r>
                  <w:r>
                    <w:rPr>
                      <w:rFonts w:eastAsia="MS Mincho"/>
                      <w:sz w:val="18"/>
                      <w:vertAlign w:val="subscript"/>
                    </w:rPr>
                    <w:t>qualmin_CE</w:t>
                  </w:r>
                  <w:r>
                    <w:rPr>
                      <w:rFonts w:eastAsia="MS Mincho"/>
                      <w:sz w:val="18"/>
                    </w:rPr>
                    <w:t xml:space="preserve"> (dB)</w:t>
                  </w:r>
                </w:p>
              </w:tc>
            </w:tr>
          </w:tbl>
          <w:p w14:paraId="02038528" w14:textId="6DAA11ED" w:rsidR="00D0037C" w:rsidRDefault="00384E6D" w:rsidP="00097035">
            <w:pPr>
              <w:spacing w:after="0"/>
              <w:jc w:val="both"/>
              <w:rPr>
                <w:rFonts w:ascii="Arial" w:hAnsi="Arial" w:cs="Arial"/>
              </w:rPr>
            </w:pPr>
            <w:r>
              <w:rPr>
                <w:rFonts w:ascii="Arial" w:hAnsi="Arial" w:cs="Arial"/>
              </w:rPr>
              <w:t xml:space="preserve"> </w:t>
            </w:r>
          </w:p>
        </w:tc>
      </w:tr>
    </w:tbl>
    <w:p w14:paraId="5B802EEE" w14:textId="7EC51F29" w:rsidR="00FB4C0D" w:rsidRDefault="00FB4C0D" w:rsidP="00097035">
      <w:pPr>
        <w:pStyle w:val="IvDInstructiontext"/>
        <w:jc w:val="both"/>
        <w:rPr>
          <w:rStyle w:val="IvDbodytextChar"/>
          <w:rFonts w:cs="Times New Roman"/>
          <w:i w:val="0"/>
          <w:color w:val="auto"/>
          <w:sz w:val="20"/>
          <w:szCs w:val="20"/>
          <w:lang w:val="en-GB"/>
        </w:rPr>
      </w:pPr>
      <w:r w:rsidRPr="00FB4C0D">
        <w:rPr>
          <w:rStyle w:val="IvDbodytextChar"/>
          <w:rFonts w:cs="Times New Roman"/>
          <w:i w:val="0"/>
          <w:color w:val="auto"/>
          <w:sz w:val="20"/>
          <w:szCs w:val="20"/>
        </w:rPr>
        <w:t>That is</w:t>
      </w:r>
      <w:r>
        <w:rPr>
          <w:rStyle w:val="IvDbodytextChar"/>
          <w:rFonts w:cs="Times New Roman"/>
          <w:i w:val="0"/>
          <w:color w:val="auto"/>
          <w:sz w:val="20"/>
          <w:szCs w:val="20"/>
        </w:rPr>
        <w:t>, if a</w:t>
      </w:r>
      <w:r w:rsidR="00235FD7">
        <w:rPr>
          <w:rStyle w:val="IvDbodytextChar"/>
          <w:rFonts w:cs="Times New Roman"/>
          <w:i w:val="0"/>
          <w:color w:val="auto"/>
          <w:sz w:val="20"/>
          <w:szCs w:val="20"/>
        </w:rPr>
        <w:t>n</w:t>
      </w:r>
      <w:r>
        <w:rPr>
          <w:rStyle w:val="IvDbodytextChar"/>
          <w:rFonts w:cs="Times New Roman"/>
          <w:i w:val="0"/>
          <w:color w:val="auto"/>
          <w:sz w:val="20"/>
          <w:szCs w:val="20"/>
        </w:rPr>
        <w:t xml:space="preserve"> </w:t>
      </w:r>
      <w:r w:rsidRPr="00FB4C0D">
        <w:rPr>
          <w:rStyle w:val="IvDbodytextChar"/>
          <w:rFonts w:cs="Times New Roman"/>
          <w:i w:val="0"/>
          <w:color w:val="auto"/>
          <w:sz w:val="20"/>
          <w:szCs w:val="20"/>
        </w:rPr>
        <w:t xml:space="preserve">LTE-M </w:t>
      </w:r>
      <w:r>
        <w:rPr>
          <w:rStyle w:val="IvDbodytextChar"/>
          <w:rFonts w:cs="Times New Roman"/>
          <w:i w:val="0"/>
          <w:color w:val="auto"/>
          <w:sz w:val="20"/>
          <w:szCs w:val="20"/>
        </w:rPr>
        <w:t>or</w:t>
      </w:r>
      <w:r w:rsidRPr="00FB4C0D">
        <w:rPr>
          <w:rStyle w:val="IvDbodytextChar"/>
          <w:rFonts w:cs="Times New Roman"/>
          <w:i w:val="0"/>
          <w:color w:val="auto"/>
          <w:sz w:val="20"/>
          <w:szCs w:val="20"/>
        </w:rPr>
        <w:t xml:space="preserve"> NB-IoT </w:t>
      </w:r>
      <w:r>
        <w:rPr>
          <w:rStyle w:val="IvDbodytextChar"/>
          <w:rFonts w:cs="Times New Roman"/>
          <w:i w:val="0"/>
          <w:color w:val="auto"/>
          <w:sz w:val="20"/>
          <w:szCs w:val="20"/>
        </w:rPr>
        <w:t xml:space="preserve">UE capable of coverage enhancements does not fulfil the S criterion for camping in normal coverage, using </w:t>
      </w:r>
      <w:r>
        <w:rPr>
          <w:i w:val="0"/>
          <w:color w:val="auto"/>
          <w:sz w:val="20"/>
          <w:szCs w:val="20"/>
        </w:rPr>
        <w:t>Q</w:t>
      </w:r>
      <w:r>
        <w:rPr>
          <w:i w:val="0"/>
          <w:color w:val="auto"/>
          <w:sz w:val="20"/>
          <w:szCs w:val="20"/>
          <w:vertAlign w:val="subscript"/>
        </w:rPr>
        <w:t>rxlevmin</w:t>
      </w:r>
      <w:r>
        <w:rPr>
          <w:color w:val="auto"/>
          <w:sz w:val="20"/>
          <w:szCs w:val="20"/>
        </w:rPr>
        <w:t xml:space="preserve"> </w:t>
      </w:r>
      <w:r>
        <w:rPr>
          <w:rStyle w:val="IvDbodytextChar"/>
          <w:rFonts w:cs="Times New Roman"/>
          <w:i w:val="0"/>
          <w:color w:val="auto"/>
          <w:sz w:val="20"/>
          <w:szCs w:val="20"/>
        </w:rPr>
        <w:t xml:space="preserve">and </w:t>
      </w:r>
      <w:r>
        <w:rPr>
          <w:i w:val="0"/>
          <w:color w:val="auto"/>
          <w:sz w:val="20"/>
          <w:szCs w:val="20"/>
        </w:rPr>
        <w:t>Q</w:t>
      </w:r>
      <w:r>
        <w:rPr>
          <w:i w:val="0"/>
          <w:color w:val="auto"/>
          <w:sz w:val="20"/>
          <w:szCs w:val="20"/>
          <w:vertAlign w:val="subscript"/>
        </w:rPr>
        <w:t>qualmin</w:t>
      </w:r>
      <w:r>
        <w:rPr>
          <w:rStyle w:val="IvDbodytextChar"/>
          <w:rFonts w:cs="Times New Roman"/>
          <w:i w:val="0"/>
          <w:color w:val="auto"/>
          <w:sz w:val="20"/>
          <w:szCs w:val="20"/>
        </w:rPr>
        <w:t xml:space="preserve">, it should consider itself to be in enhanced coverage if the S criterion can be fulfilled </w:t>
      </w:r>
      <w:bookmarkStart w:id="20" w:name="_Hlk90981338"/>
      <w:r>
        <w:rPr>
          <w:rStyle w:val="IvDbodytextChar"/>
          <w:rFonts w:cs="Times New Roman"/>
          <w:i w:val="0"/>
          <w:color w:val="auto"/>
          <w:sz w:val="20"/>
          <w:szCs w:val="20"/>
        </w:rPr>
        <w:t xml:space="preserve">using </w:t>
      </w:r>
      <w:r>
        <w:rPr>
          <w:i w:val="0"/>
          <w:color w:val="auto"/>
          <w:sz w:val="20"/>
          <w:szCs w:val="20"/>
        </w:rPr>
        <w:t>Q</w:t>
      </w:r>
      <w:r>
        <w:rPr>
          <w:i w:val="0"/>
          <w:color w:val="auto"/>
          <w:sz w:val="20"/>
          <w:szCs w:val="20"/>
          <w:vertAlign w:val="subscript"/>
        </w:rPr>
        <w:t>rxlevmin_CE</w:t>
      </w:r>
      <w:r>
        <w:rPr>
          <w:color w:val="auto"/>
          <w:sz w:val="20"/>
          <w:szCs w:val="20"/>
        </w:rPr>
        <w:t xml:space="preserve"> </w:t>
      </w:r>
      <w:r>
        <w:rPr>
          <w:rStyle w:val="IvDbodytextChar"/>
          <w:rFonts w:cs="Times New Roman"/>
          <w:i w:val="0"/>
          <w:color w:val="auto"/>
          <w:sz w:val="20"/>
          <w:szCs w:val="20"/>
        </w:rPr>
        <w:t xml:space="preserve">and </w:t>
      </w:r>
      <w:r>
        <w:rPr>
          <w:i w:val="0"/>
          <w:color w:val="auto"/>
          <w:sz w:val="20"/>
          <w:szCs w:val="20"/>
        </w:rPr>
        <w:t>Q</w:t>
      </w:r>
      <w:r>
        <w:rPr>
          <w:i w:val="0"/>
          <w:color w:val="auto"/>
          <w:sz w:val="20"/>
          <w:szCs w:val="20"/>
          <w:vertAlign w:val="subscript"/>
        </w:rPr>
        <w:t>qualmin_CE</w:t>
      </w:r>
      <w:bookmarkEnd w:id="20"/>
      <w:r>
        <w:rPr>
          <w:rStyle w:val="IvDbodytextChar"/>
          <w:rFonts w:cs="Times New Roman"/>
          <w:i w:val="0"/>
          <w:color w:val="auto"/>
          <w:sz w:val="20"/>
          <w:szCs w:val="20"/>
        </w:rPr>
        <w:t xml:space="preserve">. </w:t>
      </w:r>
      <w:r w:rsidR="00395D8B">
        <w:rPr>
          <w:rStyle w:val="IvDbodytextChar"/>
          <w:rFonts w:cs="Times New Roman"/>
          <w:i w:val="0"/>
          <w:color w:val="auto"/>
          <w:sz w:val="20"/>
          <w:szCs w:val="20"/>
        </w:rPr>
        <w:t>This e</w:t>
      </w:r>
      <w:r>
        <w:rPr>
          <w:rStyle w:val="IvDbodytextChar"/>
          <w:rFonts w:cs="Times New Roman"/>
          <w:i w:val="0"/>
          <w:color w:val="auto"/>
          <w:sz w:val="20"/>
          <w:szCs w:val="20"/>
        </w:rPr>
        <w:t xml:space="preserve">ssentially </w:t>
      </w:r>
      <w:r w:rsidRPr="00FB4C0D">
        <w:rPr>
          <w:rStyle w:val="IvDbodytextChar"/>
          <w:rFonts w:cs="Times New Roman"/>
          <w:i w:val="0"/>
          <w:color w:val="auto"/>
          <w:sz w:val="20"/>
          <w:szCs w:val="20"/>
        </w:rPr>
        <w:t>allow</w:t>
      </w:r>
      <w:r w:rsidR="00395D8B">
        <w:rPr>
          <w:rStyle w:val="IvDbodytextChar"/>
          <w:rFonts w:cs="Times New Roman"/>
          <w:i w:val="0"/>
          <w:color w:val="auto"/>
          <w:sz w:val="20"/>
          <w:szCs w:val="20"/>
        </w:rPr>
        <w:t>s</w:t>
      </w:r>
      <w:r>
        <w:rPr>
          <w:rStyle w:val="IvDbodytextChar"/>
          <w:rFonts w:cs="Times New Roman"/>
          <w:i w:val="0"/>
          <w:color w:val="auto"/>
          <w:sz w:val="20"/>
          <w:szCs w:val="20"/>
        </w:rPr>
        <w:t xml:space="preserve"> the UE</w:t>
      </w:r>
      <w:r w:rsidRPr="00FB4C0D">
        <w:rPr>
          <w:rStyle w:val="IvDbodytextChar"/>
          <w:rFonts w:cs="Times New Roman"/>
          <w:i w:val="0"/>
          <w:color w:val="auto"/>
          <w:sz w:val="20"/>
          <w:szCs w:val="20"/>
        </w:rPr>
        <w:t xml:space="preserve"> to camp on </w:t>
      </w:r>
      <w:r w:rsidR="00127729">
        <w:rPr>
          <w:rStyle w:val="IvDbodytextChar"/>
          <w:rFonts w:cs="Times New Roman"/>
          <w:i w:val="0"/>
          <w:color w:val="auto"/>
          <w:sz w:val="20"/>
          <w:szCs w:val="20"/>
        </w:rPr>
        <w:t>a</w:t>
      </w:r>
      <w:r w:rsidRPr="00FB4C0D">
        <w:rPr>
          <w:rStyle w:val="IvDbodytextChar"/>
          <w:rFonts w:cs="Times New Roman"/>
          <w:i w:val="0"/>
          <w:color w:val="auto"/>
          <w:sz w:val="20"/>
          <w:szCs w:val="20"/>
        </w:rPr>
        <w:t xml:space="preserve"> cell at lower RSRP/RSRQ compared to regular LTE UEs</w:t>
      </w:r>
      <w:r>
        <w:rPr>
          <w:rStyle w:val="IvDbodytextChar"/>
          <w:rFonts w:cs="Times New Roman"/>
          <w:i w:val="0"/>
          <w:color w:val="auto"/>
          <w:sz w:val="20"/>
          <w:szCs w:val="20"/>
        </w:rPr>
        <w:t>.</w:t>
      </w:r>
      <w:r w:rsidRPr="00FB4C0D">
        <w:rPr>
          <w:rStyle w:val="IvDbodytextChar"/>
          <w:rFonts w:cs="Times New Roman"/>
          <w:i w:val="0"/>
          <w:color w:val="auto"/>
          <w:sz w:val="20"/>
          <w:szCs w:val="20"/>
        </w:rPr>
        <w:t xml:space="preserve"> </w:t>
      </w:r>
      <w:r>
        <w:rPr>
          <w:rStyle w:val="IvDbodytextChar"/>
          <w:rFonts w:cs="Times New Roman"/>
          <w:i w:val="0"/>
          <w:color w:val="auto"/>
          <w:sz w:val="20"/>
          <w:szCs w:val="20"/>
        </w:rPr>
        <w:t>(If the S criterion is not fulfilled then either, the UE considers itself out of coverage).</w:t>
      </w:r>
    </w:p>
    <w:p w14:paraId="3DA82F02" w14:textId="093B4C7C" w:rsidR="00305CE7" w:rsidRPr="00D746DC" w:rsidRDefault="00305CE7" w:rsidP="00097035">
      <w:pPr>
        <w:spacing w:before="120"/>
        <w:jc w:val="both"/>
        <w:rPr>
          <w:rFonts w:ascii="Arial" w:hAnsi="Arial" w:cs="Arial"/>
          <w:iCs/>
        </w:rPr>
      </w:pPr>
      <w:r>
        <w:rPr>
          <w:rFonts w:ascii="Arial" w:hAnsi="Arial" w:cs="Arial"/>
        </w:rPr>
        <w:t xml:space="preserve">The solution for RedCap would then be that </w:t>
      </w:r>
      <w:r w:rsidR="00D53548" w:rsidRPr="00305CE7">
        <w:rPr>
          <w:rFonts w:ascii="Arial" w:hAnsi="Arial" w:cs="Arial"/>
          <w:iCs/>
          <w:lang w:val="en-US"/>
        </w:rPr>
        <w:t>RedCap UEs with 1 Rx branch apply</w:t>
      </w:r>
      <w:r>
        <w:rPr>
          <w:rFonts w:ascii="Arial" w:hAnsi="Arial" w:cs="Arial"/>
          <w:iCs/>
          <w:lang w:val="en-US"/>
        </w:rPr>
        <w:t xml:space="preserve"> separate</w:t>
      </w:r>
      <w:r w:rsidR="00D53548" w:rsidRPr="00305CE7">
        <w:rPr>
          <w:rFonts w:ascii="Arial" w:hAnsi="Arial" w:cs="Arial"/>
          <w:iCs/>
          <w:lang w:val="en-US"/>
        </w:rPr>
        <w:t xml:space="preserve"> </w:t>
      </w:r>
      <w:r w:rsidR="00D53548" w:rsidRPr="00305CE7">
        <w:rPr>
          <w:rFonts w:ascii="Arial" w:hAnsi="Arial" w:cs="Arial"/>
          <w:iCs/>
        </w:rPr>
        <w:t>Q</w:t>
      </w:r>
      <w:r w:rsidR="00D53548" w:rsidRPr="00305CE7">
        <w:rPr>
          <w:rFonts w:ascii="Arial" w:hAnsi="Arial" w:cs="Arial"/>
          <w:iCs/>
          <w:vertAlign w:val="subscript"/>
        </w:rPr>
        <w:t>rxlevmin_1Rx</w:t>
      </w:r>
      <w:r w:rsidR="00D53548" w:rsidRPr="00305CE7">
        <w:rPr>
          <w:rFonts w:ascii="Arial" w:hAnsi="Arial" w:cs="Arial"/>
          <w:iCs/>
        </w:rPr>
        <w:t xml:space="preserve"> </w:t>
      </w:r>
      <w:r w:rsidR="00D53548" w:rsidRPr="00305CE7">
        <w:rPr>
          <w:rFonts w:ascii="Arial" w:hAnsi="Arial" w:cs="Arial"/>
          <w:iCs/>
          <w:lang w:val="en-US"/>
        </w:rPr>
        <w:t xml:space="preserve">and </w:t>
      </w:r>
      <w:r w:rsidR="00D53548" w:rsidRPr="00305CE7">
        <w:rPr>
          <w:rFonts w:ascii="Arial" w:hAnsi="Arial" w:cs="Arial"/>
          <w:iCs/>
        </w:rPr>
        <w:t>Q</w:t>
      </w:r>
      <w:r w:rsidR="00D53548" w:rsidRPr="00305CE7">
        <w:rPr>
          <w:rFonts w:ascii="Arial" w:hAnsi="Arial" w:cs="Arial"/>
          <w:iCs/>
          <w:vertAlign w:val="subscript"/>
        </w:rPr>
        <w:t>qualmin_1Rx</w:t>
      </w:r>
      <w:r>
        <w:rPr>
          <w:rFonts w:ascii="Arial" w:hAnsi="Arial" w:cs="Arial"/>
          <w:iCs/>
          <w:vertAlign w:val="subscript"/>
        </w:rPr>
        <w:t xml:space="preserve"> </w:t>
      </w:r>
      <w:r>
        <w:rPr>
          <w:rFonts w:ascii="Arial" w:hAnsi="Arial" w:cs="Arial"/>
          <w:iCs/>
        </w:rPr>
        <w:t>which would then be configured to compensate the lower received RSRP/RSRQ and ensure the same cell size. In an example this could be specified as follows:</w:t>
      </w:r>
    </w:p>
    <w:tbl>
      <w:tblPr>
        <w:tblStyle w:val="TableGrid"/>
        <w:tblW w:w="0" w:type="auto"/>
        <w:tblLook w:val="04A0" w:firstRow="1" w:lastRow="0" w:firstColumn="1" w:lastColumn="0" w:noHBand="0" w:noVBand="1"/>
      </w:tblPr>
      <w:tblGrid>
        <w:gridCol w:w="9629"/>
      </w:tblGrid>
      <w:tr w:rsidR="00305CE7" w14:paraId="74546FA6" w14:textId="77777777" w:rsidTr="004F1732">
        <w:tc>
          <w:tcPr>
            <w:tcW w:w="9629" w:type="dxa"/>
          </w:tcPr>
          <w:p w14:paraId="78203DAF" w14:textId="46E750EB" w:rsidR="00305CE7" w:rsidRDefault="00305CE7" w:rsidP="00097035">
            <w:pPr>
              <w:spacing w:before="120"/>
              <w:jc w:val="both"/>
              <w:rPr>
                <w:rFonts w:eastAsia="MS Mincho"/>
                <w:sz w:val="20"/>
                <w:lang w:val="en-GB"/>
              </w:rPr>
            </w:pPr>
            <w:r>
              <w:rPr>
                <w:rFonts w:eastAsia="MS Mincho"/>
                <w:sz w:val="20"/>
                <w:lang w:val="en-GB"/>
              </w:rPr>
              <w:t>RedCap UE with 1 Rx branch evaluate the cell selection criterion S</w:t>
            </w:r>
            <w:r>
              <w:rPr>
                <w:rFonts w:eastAsia="MS Mincho"/>
                <w:sz w:val="20"/>
                <w:lang w:val="en-GB" w:eastAsia="zh-CN"/>
              </w:rPr>
              <w:t xml:space="preserve"> </w:t>
            </w:r>
            <w:r w:rsidR="00D746DC">
              <w:rPr>
                <w:rFonts w:eastAsia="MS Mincho"/>
                <w:sz w:val="20"/>
                <w:lang w:val="en-GB"/>
              </w:rPr>
              <w:t>using the following parameters</w:t>
            </w:r>
            <w:r>
              <w:rPr>
                <w:rFonts w:eastAsia="MS Mincho"/>
                <w:sz w:val="20"/>
                <w:lang w:val="en-GB"/>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812"/>
            </w:tblGrid>
            <w:tr w:rsidR="00305CE7" w14:paraId="4FB2BE74" w14:textId="77777777" w:rsidTr="004F1732">
              <w:trPr>
                <w:trHeight w:val="240"/>
              </w:trPr>
              <w:tc>
                <w:tcPr>
                  <w:tcW w:w="2126" w:type="dxa"/>
                  <w:tcBorders>
                    <w:top w:val="single" w:sz="4" w:space="0" w:color="auto"/>
                    <w:left w:val="single" w:sz="4" w:space="0" w:color="auto"/>
                    <w:bottom w:val="single" w:sz="4" w:space="0" w:color="auto"/>
                    <w:right w:val="single" w:sz="4" w:space="0" w:color="auto"/>
                  </w:tcBorders>
                  <w:hideMark/>
                </w:tcPr>
                <w:p w14:paraId="07EB5A3D" w14:textId="77777777" w:rsidR="00305CE7" w:rsidRDefault="00305CE7" w:rsidP="00097035">
                  <w:pPr>
                    <w:keepNext/>
                    <w:keepLines/>
                    <w:numPr>
                      <w:ilvl w:val="0"/>
                      <w:numId w:val="49"/>
                    </w:numPr>
                    <w:overflowPunct/>
                    <w:autoSpaceDE/>
                    <w:autoSpaceDN/>
                    <w:adjustRightInd/>
                    <w:ind w:left="0" w:firstLine="0"/>
                    <w:jc w:val="both"/>
                    <w:textAlignment w:val="auto"/>
                    <w:rPr>
                      <w:rFonts w:ascii="Arial" w:eastAsia="MS Mincho" w:hAnsi="Arial"/>
                      <w:sz w:val="18"/>
                      <w:lang w:eastAsia="en-US"/>
                    </w:rPr>
                  </w:pPr>
                  <w:r>
                    <w:rPr>
                      <w:rFonts w:eastAsia="MS Mincho"/>
                      <w:sz w:val="18"/>
                    </w:rPr>
                    <w:t>Q</w:t>
                  </w:r>
                  <w:r>
                    <w:rPr>
                      <w:rFonts w:eastAsia="MS Mincho"/>
                      <w:sz w:val="18"/>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6AF18CC8" w14:textId="69417194" w:rsidR="00305CE7" w:rsidRDefault="00305CE7" w:rsidP="00097035">
                  <w:pPr>
                    <w:keepNext/>
                    <w:keepLines/>
                    <w:numPr>
                      <w:ilvl w:val="0"/>
                      <w:numId w:val="49"/>
                    </w:numPr>
                    <w:overflowPunct/>
                    <w:autoSpaceDE/>
                    <w:autoSpaceDN/>
                    <w:adjustRightInd/>
                    <w:ind w:left="0" w:firstLine="0"/>
                    <w:jc w:val="both"/>
                    <w:textAlignment w:val="auto"/>
                    <w:rPr>
                      <w:rFonts w:eastAsia="MS Mincho"/>
                      <w:sz w:val="18"/>
                    </w:rPr>
                  </w:pPr>
                  <w:r>
                    <w:rPr>
                      <w:rFonts w:eastAsia="MS Mincho"/>
                      <w:sz w:val="18"/>
                    </w:rPr>
                    <w:t xml:space="preserve">UE applies </w:t>
                  </w:r>
                  <w:r>
                    <w:rPr>
                      <w:rFonts w:eastAsia="MS Mincho"/>
                      <w:sz w:val="18"/>
                      <w:lang w:eastAsia="zh-CN"/>
                    </w:rPr>
                    <w:t>1 Rx branch</w:t>
                  </w:r>
                  <w:r>
                    <w:rPr>
                      <w:rFonts w:eastAsia="MS Mincho"/>
                      <w:sz w:val="18"/>
                    </w:rPr>
                    <w:t xml:space="preserve"> specific value Q</w:t>
                  </w:r>
                  <w:r>
                    <w:rPr>
                      <w:rFonts w:eastAsia="MS Mincho"/>
                      <w:sz w:val="18"/>
                      <w:vertAlign w:val="subscript"/>
                    </w:rPr>
                    <w:t>rxlevmin_1Rx</w:t>
                  </w:r>
                  <w:r>
                    <w:rPr>
                      <w:rFonts w:eastAsia="MS Mincho"/>
                      <w:sz w:val="18"/>
                    </w:rPr>
                    <w:t xml:space="preserve"> (dBm)</w:t>
                  </w:r>
                </w:p>
              </w:tc>
            </w:tr>
            <w:tr w:rsidR="00305CE7" w14:paraId="02299746" w14:textId="77777777" w:rsidTr="004F1732">
              <w:trPr>
                <w:trHeight w:val="50"/>
              </w:trPr>
              <w:tc>
                <w:tcPr>
                  <w:tcW w:w="2126" w:type="dxa"/>
                  <w:tcBorders>
                    <w:top w:val="single" w:sz="4" w:space="0" w:color="auto"/>
                    <w:left w:val="single" w:sz="4" w:space="0" w:color="auto"/>
                    <w:bottom w:val="single" w:sz="4" w:space="0" w:color="auto"/>
                    <w:right w:val="single" w:sz="4" w:space="0" w:color="auto"/>
                  </w:tcBorders>
                  <w:hideMark/>
                </w:tcPr>
                <w:p w14:paraId="17415444" w14:textId="77777777" w:rsidR="00305CE7" w:rsidRDefault="00305CE7" w:rsidP="00097035">
                  <w:pPr>
                    <w:keepNext/>
                    <w:keepLines/>
                    <w:numPr>
                      <w:ilvl w:val="0"/>
                      <w:numId w:val="49"/>
                    </w:numPr>
                    <w:overflowPunct/>
                    <w:autoSpaceDE/>
                    <w:autoSpaceDN/>
                    <w:adjustRightInd/>
                    <w:ind w:left="0" w:firstLine="0"/>
                    <w:jc w:val="both"/>
                    <w:textAlignment w:val="auto"/>
                    <w:rPr>
                      <w:rFonts w:eastAsia="MS Mincho"/>
                      <w:sz w:val="18"/>
                    </w:rPr>
                  </w:pPr>
                  <w:r>
                    <w:rPr>
                      <w:rFonts w:eastAsia="MS Mincho"/>
                      <w:sz w:val="18"/>
                    </w:rPr>
                    <w:t>Q</w:t>
                  </w:r>
                  <w:r>
                    <w:rPr>
                      <w:rFonts w:eastAsia="MS Mincho"/>
                      <w:sz w:val="18"/>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404A6C4D" w14:textId="54BED4ED" w:rsidR="00305CE7" w:rsidRDefault="00305CE7" w:rsidP="00097035">
                  <w:pPr>
                    <w:keepNext/>
                    <w:keepLines/>
                    <w:numPr>
                      <w:ilvl w:val="0"/>
                      <w:numId w:val="49"/>
                    </w:numPr>
                    <w:overflowPunct/>
                    <w:autoSpaceDE/>
                    <w:autoSpaceDN/>
                    <w:adjustRightInd/>
                    <w:ind w:left="0" w:firstLine="0"/>
                    <w:jc w:val="both"/>
                    <w:textAlignment w:val="auto"/>
                    <w:rPr>
                      <w:rFonts w:eastAsia="MS Mincho"/>
                      <w:sz w:val="18"/>
                    </w:rPr>
                  </w:pPr>
                  <w:r>
                    <w:rPr>
                      <w:rFonts w:eastAsia="MS Mincho"/>
                      <w:sz w:val="18"/>
                    </w:rPr>
                    <w:t xml:space="preserve">UE applies </w:t>
                  </w:r>
                  <w:r>
                    <w:rPr>
                      <w:rFonts w:eastAsia="MS Mincho"/>
                      <w:sz w:val="18"/>
                      <w:lang w:eastAsia="zh-CN"/>
                    </w:rPr>
                    <w:t>1 Rx branch</w:t>
                  </w:r>
                  <w:r>
                    <w:rPr>
                      <w:rFonts w:eastAsia="MS Mincho"/>
                      <w:sz w:val="18"/>
                    </w:rPr>
                    <w:t xml:space="preserve"> specific value Q</w:t>
                  </w:r>
                  <w:r>
                    <w:rPr>
                      <w:rFonts w:eastAsia="MS Mincho"/>
                      <w:sz w:val="18"/>
                      <w:vertAlign w:val="subscript"/>
                    </w:rPr>
                    <w:t>qualmin_1Rx</w:t>
                  </w:r>
                  <w:r>
                    <w:rPr>
                      <w:rFonts w:eastAsia="MS Mincho"/>
                      <w:sz w:val="18"/>
                    </w:rPr>
                    <w:t xml:space="preserve"> (dB)</w:t>
                  </w:r>
                </w:p>
              </w:tc>
            </w:tr>
          </w:tbl>
          <w:p w14:paraId="109D0EFB" w14:textId="77777777" w:rsidR="00305CE7" w:rsidRDefault="00305CE7" w:rsidP="00097035">
            <w:pPr>
              <w:spacing w:after="0"/>
              <w:jc w:val="both"/>
              <w:rPr>
                <w:rFonts w:ascii="Arial" w:hAnsi="Arial" w:cs="Arial"/>
              </w:rPr>
            </w:pPr>
            <w:r>
              <w:rPr>
                <w:rFonts w:ascii="Arial" w:hAnsi="Arial" w:cs="Arial"/>
              </w:rPr>
              <w:t xml:space="preserve"> </w:t>
            </w:r>
          </w:p>
        </w:tc>
      </w:tr>
    </w:tbl>
    <w:p w14:paraId="09D7FA40" w14:textId="49DD6269" w:rsidR="00305CE7" w:rsidRDefault="00940F40" w:rsidP="00097035">
      <w:pPr>
        <w:spacing w:before="120"/>
        <w:jc w:val="both"/>
        <w:rPr>
          <w:rFonts w:ascii="Arial" w:hAnsi="Arial" w:cs="Arial"/>
          <w:iCs/>
          <w:lang w:val="en-US"/>
        </w:rPr>
      </w:pPr>
      <w:r>
        <w:rPr>
          <w:rFonts w:ascii="Arial" w:hAnsi="Arial" w:cs="Arial"/>
          <w:iCs/>
        </w:rPr>
        <w:t>For example, if RedCap UE</w:t>
      </w:r>
      <w:r w:rsidR="007E6AC3">
        <w:rPr>
          <w:rFonts w:ascii="Arial" w:hAnsi="Arial" w:cs="Arial"/>
          <w:iCs/>
        </w:rPr>
        <w:t>s</w:t>
      </w:r>
      <w:r>
        <w:rPr>
          <w:rFonts w:ascii="Arial" w:hAnsi="Arial" w:cs="Arial"/>
          <w:iCs/>
        </w:rPr>
        <w:t xml:space="preserve"> with 1 Rx branch measures 3 dB lower RSRP compared to a 2 Rx UE, </w:t>
      </w:r>
      <w:r w:rsidRPr="00305CE7">
        <w:rPr>
          <w:rFonts w:ascii="Arial" w:hAnsi="Arial" w:cs="Arial"/>
          <w:iCs/>
        </w:rPr>
        <w:t>Q</w:t>
      </w:r>
      <w:r w:rsidRPr="00305CE7">
        <w:rPr>
          <w:rFonts w:ascii="Arial" w:hAnsi="Arial" w:cs="Arial"/>
          <w:iCs/>
          <w:vertAlign w:val="subscript"/>
        </w:rPr>
        <w:t>rxlevmin_1Rx</w:t>
      </w:r>
      <w:r w:rsidRPr="00305CE7">
        <w:rPr>
          <w:rFonts w:ascii="Arial" w:hAnsi="Arial" w:cs="Arial"/>
          <w:iCs/>
        </w:rPr>
        <w:t xml:space="preserve"> </w:t>
      </w:r>
      <w:r>
        <w:rPr>
          <w:rFonts w:ascii="Arial" w:hAnsi="Arial" w:cs="Arial"/>
          <w:iCs/>
          <w:lang w:val="en-US"/>
        </w:rPr>
        <w:t xml:space="preserve">equal to </w:t>
      </w:r>
      <w:r w:rsidRPr="00305CE7">
        <w:rPr>
          <w:rFonts w:ascii="Arial" w:hAnsi="Arial" w:cs="Arial"/>
          <w:iCs/>
        </w:rPr>
        <w:t>Q</w:t>
      </w:r>
      <w:r w:rsidRPr="00305CE7">
        <w:rPr>
          <w:rFonts w:ascii="Arial" w:hAnsi="Arial" w:cs="Arial"/>
          <w:iCs/>
          <w:vertAlign w:val="subscript"/>
        </w:rPr>
        <w:t>rxlevmin</w:t>
      </w:r>
      <w:r w:rsidRPr="00305CE7">
        <w:rPr>
          <w:rFonts w:ascii="Arial" w:hAnsi="Arial" w:cs="Arial"/>
          <w:iCs/>
        </w:rPr>
        <w:t xml:space="preserve"> </w:t>
      </w:r>
      <w:r>
        <w:rPr>
          <w:rFonts w:ascii="Arial" w:hAnsi="Arial" w:cs="Arial"/>
          <w:iCs/>
          <w:lang w:val="en-US"/>
        </w:rPr>
        <w:t xml:space="preserve">plus a 3 dB offset </w:t>
      </w:r>
      <w:r w:rsidR="007E6AC3">
        <w:rPr>
          <w:rFonts w:ascii="Arial" w:hAnsi="Arial" w:cs="Arial"/>
          <w:iCs/>
          <w:lang w:val="en-US"/>
        </w:rPr>
        <w:t xml:space="preserve">should be used </w:t>
      </w:r>
      <w:r>
        <w:rPr>
          <w:rFonts w:ascii="Arial" w:hAnsi="Arial" w:cs="Arial"/>
          <w:iCs/>
          <w:lang w:val="en-US"/>
        </w:rPr>
        <w:t>in the calculation of S</w:t>
      </w:r>
      <w:r w:rsidRPr="00940F40">
        <w:rPr>
          <w:rFonts w:ascii="Arial" w:hAnsi="Arial" w:cs="Arial"/>
          <w:iCs/>
          <w:vertAlign w:val="subscript"/>
          <w:lang w:val="en-US"/>
        </w:rPr>
        <w:t>rxlev</w:t>
      </w:r>
      <w:r>
        <w:rPr>
          <w:rFonts w:ascii="Arial" w:hAnsi="Arial" w:cs="Arial"/>
          <w:iCs/>
          <w:lang w:val="en-US"/>
        </w:rPr>
        <w:t>.</w:t>
      </w:r>
      <w:r w:rsidR="00996ACC">
        <w:rPr>
          <w:rFonts w:ascii="Arial" w:hAnsi="Arial" w:cs="Arial"/>
          <w:iCs/>
          <w:lang w:val="en-US"/>
        </w:rPr>
        <w:t xml:space="preserve"> The </w:t>
      </w:r>
      <w:r w:rsidR="00D342E0">
        <w:rPr>
          <w:rFonts w:ascii="Arial" w:hAnsi="Arial" w:cs="Arial"/>
          <w:iCs/>
          <w:lang w:val="en-US"/>
        </w:rPr>
        <w:t xml:space="preserve">modification is illustrated in </w:t>
      </w:r>
      <w:r w:rsidR="00F14FEB">
        <w:rPr>
          <w:rFonts w:ascii="Arial" w:hAnsi="Arial" w:cs="Arial"/>
          <w:iCs/>
          <w:lang w:val="en-US"/>
        </w:rPr>
        <w:fldChar w:fldCharType="begin"/>
      </w:r>
      <w:r w:rsidR="00F14FEB">
        <w:rPr>
          <w:rFonts w:ascii="Arial" w:hAnsi="Arial" w:cs="Arial"/>
          <w:iCs/>
          <w:lang w:val="en-US"/>
        </w:rPr>
        <w:instrText xml:space="preserve"> REF _Ref92708037 \h </w:instrText>
      </w:r>
      <w:r w:rsidR="00F14FEB">
        <w:rPr>
          <w:rFonts w:ascii="Arial" w:hAnsi="Arial" w:cs="Arial"/>
          <w:iCs/>
          <w:lang w:val="en-US"/>
        </w:rPr>
      </w:r>
      <w:r w:rsidR="00097035">
        <w:rPr>
          <w:rFonts w:ascii="Arial" w:hAnsi="Arial" w:cs="Arial"/>
          <w:iCs/>
          <w:lang w:val="en-US"/>
        </w:rPr>
        <w:instrText xml:space="preserve"> \* MERGEFORMAT </w:instrText>
      </w:r>
      <w:r w:rsidR="00F14FEB">
        <w:rPr>
          <w:rFonts w:ascii="Arial" w:hAnsi="Arial" w:cs="Arial"/>
          <w:iCs/>
          <w:lang w:val="en-US"/>
        </w:rPr>
        <w:fldChar w:fldCharType="separate"/>
      </w:r>
      <w:r w:rsidR="00F14FEB" w:rsidRPr="00996ACC">
        <w:rPr>
          <w:rFonts w:ascii="Arial" w:hAnsi="Arial" w:cs="Arial"/>
        </w:rPr>
        <w:t xml:space="preserve">Figure </w:t>
      </w:r>
      <w:r w:rsidR="00F14FEB" w:rsidRPr="00996ACC">
        <w:rPr>
          <w:rFonts w:ascii="Arial" w:hAnsi="Arial" w:cs="Arial"/>
          <w:noProof/>
        </w:rPr>
        <w:t>2</w:t>
      </w:r>
      <w:r w:rsidR="00F14FEB">
        <w:rPr>
          <w:rFonts w:ascii="Arial" w:hAnsi="Arial" w:cs="Arial"/>
          <w:iCs/>
          <w:lang w:val="en-US"/>
        </w:rPr>
        <w:fldChar w:fldCharType="end"/>
      </w:r>
      <w:r w:rsidR="00F14FEB">
        <w:rPr>
          <w:rFonts w:ascii="Arial" w:hAnsi="Arial" w:cs="Arial"/>
          <w:iCs/>
          <w:lang w:val="en-US"/>
        </w:rPr>
        <w:t xml:space="preserve"> </w:t>
      </w:r>
      <w:r w:rsidR="00D342E0">
        <w:rPr>
          <w:rFonts w:ascii="Arial" w:hAnsi="Arial" w:cs="Arial"/>
          <w:iCs/>
          <w:lang w:val="en-US"/>
        </w:rPr>
        <w:t xml:space="preserve">below, where in A) no compensation is applied for 1 Rx RedCap UEs, leading to a smaller cell size for 1 Rx and 2 Rx, and in B) separate </w:t>
      </w:r>
      <w:r w:rsidR="00D342E0" w:rsidRPr="00305CE7">
        <w:rPr>
          <w:rFonts w:ascii="Arial" w:hAnsi="Arial" w:cs="Arial"/>
          <w:iCs/>
        </w:rPr>
        <w:t>Q</w:t>
      </w:r>
      <w:r w:rsidR="00D342E0" w:rsidRPr="00305CE7">
        <w:rPr>
          <w:rFonts w:ascii="Arial" w:hAnsi="Arial" w:cs="Arial"/>
          <w:iCs/>
          <w:vertAlign w:val="subscript"/>
        </w:rPr>
        <w:t>rxlevmin_1Rx</w:t>
      </w:r>
      <w:r w:rsidR="00D342E0" w:rsidRPr="00305CE7">
        <w:rPr>
          <w:rFonts w:ascii="Arial" w:hAnsi="Arial" w:cs="Arial"/>
          <w:iCs/>
        </w:rPr>
        <w:t xml:space="preserve"> </w:t>
      </w:r>
      <w:r w:rsidR="00D342E0">
        <w:rPr>
          <w:rFonts w:ascii="Arial" w:hAnsi="Arial" w:cs="Arial"/>
          <w:iCs/>
          <w:lang w:val="en-US"/>
        </w:rPr>
        <w:t>is applied for 1 Rx RedCap UEs, leading to the same experiences cell size for all UEs.</w:t>
      </w:r>
    </w:p>
    <w:p w14:paraId="716E46D3" w14:textId="77777777" w:rsidR="00996ACC" w:rsidRDefault="00996ACC" w:rsidP="00996ACC">
      <w:pPr>
        <w:keepNext/>
        <w:spacing w:before="120"/>
      </w:pPr>
      <w:r>
        <w:rPr>
          <w:rFonts w:ascii="Arial" w:hAnsi="Arial" w:cs="Arial"/>
          <w:iCs/>
          <w:noProof/>
        </w:rPr>
        <w:lastRenderedPageBreak/>
        <w:drawing>
          <wp:inline distT="0" distB="0" distL="0" distR="0" wp14:anchorId="393C61E9" wp14:editId="3F031BF8">
            <wp:extent cx="6237710" cy="254418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80840" cy="2561778"/>
                    </a:xfrm>
                    <a:prstGeom prst="rect">
                      <a:avLst/>
                    </a:prstGeom>
                    <a:noFill/>
                  </pic:spPr>
                </pic:pic>
              </a:graphicData>
            </a:graphic>
          </wp:inline>
        </w:drawing>
      </w:r>
    </w:p>
    <w:p w14:paraId="0D691ECF" w14:textId="5025C834" w:rsidR="00996ACC" w:rsidRPr="00996ACC" w:rsidRDefault="00996ACC" w:rsidP="00996ACC">
      <w:pPr>
        <w:pStyle w:val="Caption"/>
        <w:jc w:val="center"/>
        <w:rPr>
          <w:rFonts w:ascii="Arial" w:hAnsi="Arial" w:cs="Arial"/>
          <w:iCs/>
        </w:rPr>
      </w:pPr>
      <w:bookmarkStart w:id="21" w:name="_Ref92708037"/>
      <w:r w:rsidRPr="00996ACC">
        <w:rPr>
          <w:rFonts w:ascii="Arial" w:hAnsi="Arial" w:cs="Arial"/>
        </w:rPr>
        <w:t xml:space="preserve">Figure </w:t>
      </w:r>
      <w:r w:rsidRPr="00996ACC">
        <w:rPr>
          <w:rFonts w:ascii="Arial" w:hAnsi="Arial" w:cs="Arial"/>
        </w:rPr>
        <w:fldChar w:fldCharType="begin"/>
      </w:r>
      <w:r w:rsidRPr="00996ACC">
        <w:rPr>
          <w:rFonts w:ascii="Arial" w:hAnsi="Arial" w:cs="Arial"/>
        </w:rPr>
        <w:instrText xml:space="preserve"> SEQ Figure \* ARABIC </w:instrText>
      </w:r>
      <w:r w:rsidRPr="00996ACC">
        <w:rPr>
          <w:rFonts w:ascii="Arial" w:hAnsi="Arial" w:cs="Arial"/>
        </w:rPr>
        <w:fldChar w:fldCharType="separate"/>
      </w:r>
      <w:r w:rsidRPr="00996ACC">
        <w:rPr>
          <w:rFonts w:ascii="Arial" w:hAnsi="Arial" w:cs="Arial"/>
          <w:noProof/>
        </w:rPr>
        <w:t>2</w:t>
      </w:r>
      <w:r w:rsidRPr="00996ACC">
        <w:rPr>
          <w:rFonts w:ascii="Arial" w:hAnsi="Arial" w:cs="Arial"/>
        </w:rPr>
        <w:fldChar w:fldCharType="end"/>
      </w:r>
      <w:bookmarkEnd w:id="21"/>
      <w:r w:rsidRPr="00996ACC">
        <w:rPr>
          <w:rFonts w:ascii="Arial" w:hAnsi="Arial" w:cs="Arial"/>
        </w:rPr>
        <w:t>: Illustration of cell size compensation for 1 Rx RedCap UE.</w:t>
      </w:r>
    </w:p>
    <w:p w14:paraId="33EA8537" w14:textId="73EE97A3" w:rsidR="0082576E" w:rsidRPr="0082576E" w:rsidRDefault="008F1C02" w:rsidP="00097035">
      <w:pPr>
        <w:spacing w:before="120"/>
        <w:jc w:val="both"/>
        <w:rPr>
          <w:rFonts w:ascii="Arial" w:hAnsi="Arial" w:cs="Arial"/>
        </w:rPr>
      </w:pPr>
      <w:r>
        <w:rPr>
          <w:rFonts w:ascii="Arial" w:hAnsi="Arial" w:cs="Arial"/>
        </w:rPr>
        <w:t xml:space="preserve">We therefore support option </w:t>
      </w:r>
      <w:r w:rsidR="0082576E" w:rsidRPr="0082576E">
        <w:rPr>
          <w:rFonts w:ascii="Arial" w:hAnsi="Arial" w:cs="Arial"/>
        </w:rPr>
        <w:t>2)</w:t>
      </w:r>
      <w:r>
        <w:rPr>
          <w:rFonts w:ascii="Arial" w:hAnsi="Arial" w:cs="Arial"/>
        </w:rPr>
        <w:t xml:space="preserve"> of introducing o</w:t>
      </w:r>
      <w:r w:rsidRPr="00546778">
        <w:rPr>
          <w:rFonts w:ascii="Arial" w:hAnsi="Arial" w:cs="Arial"/>
        </w:rPr>
        <w:t>ptionally configur</w:t>
      </w:r>
      <w:r>
        <w:rPr>
          <w:rFonts w:ascii="Arial" w:hAnsi="Arial" w:cs="Arial"/>
        </w:rPr>
        <w:t>able</w:t>
      </w:r>
      <w:r w:rsidRPr="00546778">
        <w:rPr>
          <w:rFonts w:ascii="Arial" w:hAnsi="Arial" w:cs="Arial"/>
        </w:rPr>
        <w:t xml:space="preserve"> separate Q</w:t>
      </w:r>
      <w:r w:rsidRPr="00546778">
        <w:rPr>
          <w:rFonts w:ascii="Arial" w:hAnsi="Arial" w:cs="Arial"/>
          <w:vertAlign w:val="subscript"/>
        </w:rPr>
        <w:t>rxlevmin</w:t>
      </w:r>
      <w:r w:rsidRPr="00546778">
        <w:rPr>
          <w:rFonts w:ascii="Arial" w:hAnsi="Arial" w:cs="Arial"/>
        </w:rPr>
        <w:t xml:space="preserve"> and Q</w:t>
      </w:r>
      <w:r w:rsidRPr="008F1C02">
        <w:rPr>
          <w:rFonts w:ascii="Arial" w:hAnsi="Arial" w:cs="Arial"/>
          <w:vertAlign w:val="subscript"/>
        </w:rPr>
        <w:t>q</w:t>
      </w:r>
      <w:r w:rsidRPr="00546778">
        <w:rPr>
          <w:rFonts w:ascii="Arial" w:hAnsi="Arial" w:cs="Arial"/>
          <w:vertAlign w:val="subscript"/>
        </w:rPr>
        <w:t>ualmin</w:t>
      </w:r>
      <w:r>
        <w:rPr>
          <w:rFonts w:ascii="Arial" w:hAnsi="Arial" w:cs="Arial"/>
        </w:rPr>
        <w:t xml:space="preserve">. Further, since the configuration of such would be optional, there </w:t>
      </w:r>
      <w:r w:rsidR="00E662B1">
        <w:rPr>
          <w:rFonts w:ascii="Arial" w:hAnsi="Arial" w:cs="Arial"/>
        </w:rPr>
        <w:t>is really no drawback of specifying it in Rel-17. The specification impact would be minimal, i.e.</w:t>
      </w:r>
      <w:r w:rsidR="00173731">
        <w:rPr>
          <w:rFonts w:ascii="Arial" w:hAnsi="Arial" w:cs="Arial"/>
        </w:rPr>
        <w:t>,</w:t>
      </w:r>
      <w:r w:rsidR="00E662B1">
        <w:rPr>
          <w:rFonts w:ascii="Arial" w:hAnsi="Arial" w:cs="Arial"/>
        </w:rPr>
        <w:t xml:space="preserve"> adding the above lines to TS 38.304 and specifying two parameters in TS 38.331 (</w:t>
      </w:r>
      <w:r w:rsidR="00E662B1" w:rsidRPr="00546778">
        <w:rPr>
          <w:rFonts w:ascii="Arial" w:hAnsi="Arial" w:cs="Arial"/>
        </w:rPr>
        <w:t>Q</w:t>
      </w:r>
      <w:r w:rsidR="00E662B1" w:rsidRPr="00546778">
        <w:rPr>
          <w:rFonts w:ascii="Arial" w:hAnsi="Arial" w:cs="Arial"/>
          <w:vertAlign w:val="subscript"/>
        </w:rPr>
        <w:t>rxlevmin</w:t>
      </w:r>
      <w:r w:rsidR="00E662B1">
        <w:rPr>
          <w:rFonts w:ascii="Arial" w:hAnsi="Arial" w:cs="Arial"/>
          <w:vertAlign w:val="subscript"/>
        </w:rPr>
        <w:t>_1Rx</w:t>
      </w:r>
      <w:r w:rsidR="00E662B1" w:rsidRPr="00546778">
        <w:rPr>
          <w:rFonts w:ascii="Arial" w:hAnsi="Arial" w:cs="Arial"/>
        </w:rPr>
        <w:t xml:space="preserve"> and Q</w:t>
      </w:r>
      <w:r w:rsidR="00E662B1" w:rsidRPr="008F1C02">
        <w:rPr>
          <w:rFonts w:ascii="Arial" w:hAnsi="Arial" w:cs="Arial"/>
          <w:vertAlign w:val="subscript"/>
        </w:rPr>
        <w:t>q</w:t>
      </w:r>
      <w:r w:rsidR="00E662B1" w:rsidRPr="00546778">
        <w:rPr>
          <w:rFonts w:ascii="Arial" w:hAnsi="Arial" w:cs="Arial"/>
          <w:vertAlign w:val="subscript"/>
        </w:rPr>
        <w:t>ualmin</w:t>
      </w:r>
      <w:r w:rsidR="00E662B1">
        <w:rPr>
          <w:rFonts w:ascii="Arial" w:hAnsi="Arial" w:cs="Arial"/>
          <w:vertAlign w:val="subscript"/>
        </w:rPr>
        <w:t>_1Rx</w:t>
      </w:r>
      <w:r w:rsidR="00E662B1">
        <w:rPr>
          <w:rFonts w:ascii="Arial" w:hAnsi="Arial" w:cs="Arial"/>
        </w:rPr>
        <w:t>). On the other hand, the consequences of not specifying the optional support for this could be very problematic if it later turns out it is crucial in some scenarios to ensure the same cell size for 1 Rx and legacy UEs.</w:t>
      </w:r>
    </w:p>
    <w:p w14:paraId="535A69EF" w14:textId="76B4ED31" w:rsidR="0023537E" w:rsidRPr="0023537E" w:rsidRDefault="004C3016" w:rsidP="00097035">
      <w:pPr>
        <w:pStyle w:val="Observation"/>
      </w:pPr>
      <w:bookmarkStart w:id="22" w:name="_Toc92708197"/>
      <w:r>
        <w:t>With</w:t>
      </w:r>
      <w:r w:rsidR="00102D6B">
        <w:t xml:space="preserve"> no RedCap specific cell selection criteria</w:t>
      </w:r>
      <w:r>
        <w:t xml:space="preserve">, 1 Rx RedCap UEs would experience a smaller cell size than 2 Rx </w:t>
      </w:r>
      <w:r w:rsidR="00102D6B">
        <w:t xml:space="preserve">RedCap </w:t>
      </w:r>
      <w:r>
        <w:t>and legacy UEs.</w:t>
      </w:r>
      <w:bookmarkEnd w:id="22"/>
    </w:p>
    <w:p w14:paraId="4CE350D4" w14:textId="73EB2884" w:rsidR="004C3016" w:rsidRPr="0023537E" w:rsidRDefault="00854AB9" w:rsidP="00097035">
      <w:pPr>
        <w:pStyle w:val="Observation"/>
      </w:pPr>
      <w:bookmarkStart w:id="23" w:name="_Toc92708198"/>
      <w:r>
        <w:t>Introducing c</w:t>
      </w:r>
      <w:r w:rsidR="004C3016">
        <w:t xml:space="preserve">ell (re)selection compensation for 1 Rx </w:t>
      </w:r>
      <w:r w:rsidR="00102D6B">
        <w:t>RedCap</w:t>
      </w:r>
      <w:r w:rsidR="004C3016">
        <w:t xml:space="preserve"> UEs </w:t>
      </w:r>
      <w:r>
        <w:t>does not add complexity</w:t>
      </w:r>
      <w:r w:rsidR="004C3016">
        <w:t xml:space="preserve"> in Rel-17</w:t>
      </w:r>
      <w:r>
        <w:t>;</w:t>
      </w:r>
      <w:r w:rsidR="004C3016">
        <w:t xml:space="preserve"> </w:t>
      </w:r>
      <w:r>
        <w:t>otherwise</w:t>
      </w:r>
      <w:r w:rsidR="00247166">
        <w:t>,</w:t>
      </w:r>
      <w:r>
        <w:t xml:space="preserve"> backwards compatibility issues would arise if done in later releases</w:t>
      </w:r>
      <w:r w:rsidR="004C3016">
        <w:t>.</w:t>
      </w:r>
      <w:bookmarkEnd w:id="23"/>
    </w:p>
    <w:p w14:paraId="69593171" w14:textId="60A06FE0" w:rsidR="00A66965" w:rsidRPr="005E3B4F" w:rsidRDefault="004E5B57" w:rsidP="00097035">
      <w:pPr>
        <w:pStyle w:val="Proposal"/>
      </w:pPr>
      <w:bookmarkStart w:id="24" w:name="_Toc92708208"/>
      <w:r>
        <w:t>Support o</w:t>
      </w:r>
      <w:r w:rsidRPr="00546778">
        <w:t>ptional configur</w:t>
      </w:r>
      <w:r>
        <w:t>ation of</w:t>
      </w:r>
      <w:r w:rsidRPr="00546778">
        <w:t xml:space="preserve"> </w:t>
      </w:r>
      <w:r>
        <w:t>RedCap specific</w:t>
      </w:r>
      <w:r w:rsidRPr="00546778">
        <w:t xml:space="preserve"> Q</w:t>
      </w:r>
      <w:r w:rsidRPr="00546778">
        <w:rPr>
          <w:vertAlign w:val="subscript"/>
        </w:rPr>
        <w:t>rxlevmin</w:t>
      </w:r>
      <w:r>
        <w:rPr>
          <w:vertAlign w:val="subscript"/>
        </w:rPr>
        <w:t>_1Rx</w:t>
      </w:r>
      <w:r w:rsidRPr="00546778">
        <w:t xml:space="preserve"> and Q</w:t>
      </w:r>
      <w:r w:rsidRPr="008F1C02">
        <w:rPr>
          <w:vertAlign w:val="subscript"/>
        </w:rPr>
        <w:t>q</w:t>
      </w:r>
      <w:r w:rsidRPr="00546778">
        <w:rPr>
          <w:vertAlign w:val="subscript"/>
        </w:rPr>
        <w:t>ualmin</w:t>
      </w:r>
      <w:r>
        <w:rPr>
          <w:vertAlign w:val="subscript"/>
        </w:rPr>
        <w:t>_1Rx</w:t>
      </w:r>
      <w:r>
        <w:t>.</w:t>
      </w:r>
      <w:bookmarkEnd w:id="24"/>
    </w:p>
    <w:p w14:paraId="2830BFC6" w14:textId="0AD6FDBA" w:rsidR="00C01F33" w:rsidRPr="00CE0424" w:rsidRDefault="00C72E08" w:rsidP="00097035">
      <w:pPr>
        <w:pStyle w:val="Heading1"/>
        <w:jc w:val="both"/>
      </w:pPr>
      <w:r>
        <w:t>4</w:t>
      </w:r>
      <w:r>
        <w:tab/>
      </w:r>
      <w:r w:rsidR="00C01F33" w:rsidRPr="00CE0424">
        <w:t>Conclusion</w:t>
      </w:r>
    </w:p>
    <w:p w14:paraId="7139CC38" w14:textId="77777777" w:rsidR="008E065E" w:rsidRDefault="008E065E" w:rsidP="00097035">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F1369EB" w14:textId="77777777" w:rsidR="00247166" w:rsidRDefault="006F6582" w:rsidP="00097035">
      <w:pPr>
        <w:pStyle w:val="TableofFigures"/>
        <w:tabs>
          <w:tab w:val="right" w:leader="dot" w:pos="9629"/>
        </w:tabs>
        <w:jc w:val="both"/>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92708191" w:history="1">
        <w:r w:rsidR="00247166" w:rsidRPr="00C9227D">
          <w:rPr>
            <w:rStyle w:val="Hyperlink"/>
            <w:noProof/>
          </w:rPr>
          <w:t>Observation 1</w:t>
        </w:r>
        <w:r w:rsidR="00247166">
          <w:rPr>
            <w:rFonts w:asciiTheme="minorHAnsi" w:eastAsiaTheme="minorEastAsia" w:hAnsiTheme="minorHAnsi" w:cstheme="minorBidi"/>
            <w:b w:val="0"/>
            <w:noProof/>
            <w:sz w:val="22"/>
            <w:szCs w:val="22"/>
            <w:lang w:eastAsia="en-GB"/>
          </w:rPr>
          <w:tab/>
        </w:r>
        <w:r w:rsidR="00247166" w:rsidRPr="00C9227D">
          <w:rPr>
            <w:rStyle w:val="Hyperlink"/>
            <w:noProof/>
          </w:rPr>
          <w:t>Always using the dedicated LCID in Msg3 is the simplest solution and there is no benefit of not using it under certain conditions.</w:t>
        </w:r>
      </w:hyperlink>
    </w:p>
    <w:p w14:paraId="66D33C94" w14:textId="77777777" w:rsidR="00247166" w:rsidRDefault="0088558D" w:rsidP="0009703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2708192" w:history="1">
        <w:r w:rsidR="00247166" w:rsidRPr="00C9227D">
          <w:rPr>
            <w:rStyle w:val="Hyperlink"/>
            <w:noProof/>
          </w:rPr>
          <w:t>Observation 2</w:t>
        </w:r>
        <w:r w:rsidR="00247166">
          <w:rPr>
            <w:rFonts w:asciiTheme="minorHAnsi" w:eastAsiaTheme="minorEastAsia" w:hAnsiTheme="minorHAnsi" w:cstheme="minorBidi"/>
            <w:b w:val="0"/>
            <w:noProof/>
            <w:sz w:val="22"/>
            <w:szCs w:val="22"/>
            <w:lang w:eastAsia="en-GB"/>
          </w:rPr>
          <w:tab/>
        </w:r>
        <w:r w:rsidR="00247166" w:rsidRPr="00C9227D">
          <w:rPr>
            <w:rStyle w:val="Hyperlink"/>
            <w:noProof/>
          </w:rPr>
          <w:t>Not supporting RedCap in a cell by removing IFRI in SIB1 does not fill any practical purpose and only adds unnecessary complexity.</w:t>
        </w:r>
      </w:hyperlink>
    </w:p>
    <w:p w14:paraId="50C7DC4C" w14:textId="77777777" w:rsidR="00247166" w:rsidRDefault="0088558D" w:rsidP="0009703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2708193" w:history="1">
        <w:r w:rsidR="00247166" w:rsidRPr="00C9227D">
          <w:rPr>
            <w:rStyle w:val="Hyperlink"/>
            <w:noProof/>
          </w:rPr>
          <w:t>Observation 3</w:t>
        </w:r>
        <w:r w:rsidR="00247166">
          <w:rPr>
            <w:rFonts w:asciiTheme="minorHAnsi" w:eastAsiaTheme="minorEastAsia" w:hAnsiTheme="minorHAnsi" w:cstheme="minorBidi"/>
            <w:b w:val="0"/>
            <w:noProof/>
            <w:sz w:val="22"/>
            <w:szCs w:val="22"/>
            <w:lang w:eastAsia="en-GB"/>
          </w:rPr>
          <w:tab/>
        </w:r>
        <w:r w:rsidR="00247166" w:rsidRPr="00C9227D">
          <w:rPr>
            <w:rStyle w:val="Hyperlink"/>
            <w:noProof/>
          </w:rPr>
          <w:t>It is not feasible for system information to contain non-static information, such as RedCap access barring info for neighbour cells, since it generates a lot of SI update.</w:t>
        </w:r>
      </w:hyperlink>
    </w:p>
    <w:p w14:paraId="1E5B23FB" w14:textId="77777777" w:rsidR="00247166" w:rsidRDefault="0088558D" w:rsidP="0009703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2708194" w:history="1">
        <w:r w:rsidR="00247166" w:rsidRPr="00C9227D">
          <w:rPr>
            <w:rStyle w:val="Hyperlink"/>
            <w:noProof/>
          </w:rPr>
          <w:t>Observation 4</w:t>
        </w:r>
        <w:r w:rsidR="00247166">
          <w:rPr>
            <w:rFonts w:asciiTheme="minorHAnsi" w:eastAsiaTheme="minorEastAsia" w:hAnsiTheme="minorHAnsi" w:cstheme="minorBidi"/>
            <w:b w:val="0"/>
            <w:noProof/>
            <w:sz w:val="22"/>
            <w:szCs w:val="22"/>
            <w:lang w:eastAsia="en-GB"/>
          </w:rPr>
          <w:tab/>
        </w:r>
        <w:r w:rsidR="00247166" w:rsidRPr="00C9227D">
          <w:rPr>
            <w:rStyle w:val="Hyperlink"/>
            <w:noProof/>
          </w:rPr>
          <w:t>When RedCap is supported in an entire frequency band, RedCap specific IFRI in SIB1 can already provide the same gain as providing information on which neighbour cells accept RedCap UE access in SI.</w:t>
        </w:r>
      </w:hyperlink>
    </w:p>
    <w:p w14:paraId="29801BE4" w14:textId="77777777" w:rsidR="00247166" w:rsidRDefault="0088558D" w:rsidP="0009703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2708195" w:history="1">
        <w:r w:rsidR="00247166" w:rsidRPr="00C9227D">
          <w:rPr>
            <w:rStyle w:val="Hyperlink"/>
            <w:noProof/>
          </w:rPr>
          <w:t>Observation 5</w:t>
        </w:r>
        <w:r w:rsidR="00247166">
          <w:rPr>
            <w:rFonts w:asciiTheme="minorHAnsi" w:eastAsiaTheme="minorEastAsia" w:hAnsiTheme="minorHAnsi" w:cstheme="minorBidi"/>
            <w:b w:val="0"/>
            <w:noProof/>
            <w:sz w:val="22"/>
            <w:szCs w:val="22"/>
            <w:lang w:eastAsia="en-GB"/>
          </w:rPr>
          <w:tab/>
        </w:r>
        <w:r w:rsidR="00247166" w:rsidRPr="00C9227D">
          <w:rPr>
            <w:rStyle w:val="Hyperlink"/>
            <w:noProof/>
          </w:rPr>
          <w:t>Currently SIB3 and SIB4 do not contain any feature specific information at all and adding RedCap info (and assistance info for other features) will lead to increased SI size which will have negative impact on both UE and system performance.</w:t>
        </w:r>
      </w:hyperlink>
    </w:p>
    <w:p w14:paraId="32BACD26" w14:textId="77777777" w:rsidR="00247166" w:rsidRDefault="0088558D" w:rsidP="0009703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2708196" w:history="1">
        <w:r w:rsidR="00247166" w:rsidRPr="00C9227D">
          <w:rPr>
            <w:rStyle w:val="Hyperlink"/>
            <w:noProof/>
          </w:rPr>
          <w:t>Observation 6</w:t>
        </w:r>
        <w:r w:rsidR="00247166">
          <w:rPr>
            <w:rFonts w:asciiTheme="minorHAnsi" w:eastAsiaTheme="minorEastAsia" w:hAnsiTheme="minorHAnsi" w:cstheme="minorBidi"/>
            <w:b w:val="0"/>
            <w:noProof/>
            <w:sz w:val="22"/>
            <w:szCs w:val="22"/>
            <w:lang w:eastAsia="en-GB"/>
          </w:rPr>
          <w:tab/>
        </w:r>
        <w:r w:rsidR="00247166" w:rsidRPr="00C9227D">
          <w:rPr>
            <w:rStyle w:val="Hyperlink"/>
            <w:noProof/>
          </w:rPr>
          <w:t>Similar gains as providing information on if neighbour cells support RedCap in SI could be achieved by RedCap specific IFRI and/or through UE implementation, without any specification impact and negative impact from increases SI size.</w:t>
        </w:r>
      </w:hyperlink>
    </w:p>
    <w:p w14:paraId="435D040B" w14:textId="77777777" w:rsidR="00247166" w:rsidRDefault="0088558D" w:rsidP="0009703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2708197" w:history="1">
        <w:r w:rsidR="00247166" w:rsidRPr="00C9227D">
          <w:rPr>
            <w:rStyle w:val="Hyperlink"/>
            <w:noProof/>
          </w:rPr>
          <w:t>Observation 7</w:t>
        </w:r>
        <w:r w:rsidR="00247166">
          <w:rPr>
            <w:rFonts w:asciiTheme="minorHAnsi" w:eastAsiaTheme="minorEastAsia" w:hAnsiTheme="minorHAnsi" w:cstheme="minorBidi"/>
            <w:b w:val="0"/>
            <w:noProof/>
            <w:sz w:val="22"/>
            <w:szCs w:val="22"/>
            <w:lang w:eastAsia="en-GB"/>
          </w:rPr>
          <w:tab/>
        </w:r>
        <w:r w:rsidR="00247166" w:rsidRPr="00C9227D">
          <w:rPr>
            <w:rStyle w:val="Hyperlink"/>
            <w:noProof/>
          </w:rPr>
          <w:t>With no RedCap specific cell selection criteria, 1 Rx RedCap UEs would experience a smaller cell size than 2 Rx RedCap and legacy UEs.</w:t>
        </w:r>
      </w:hyperlink>
    </w:p>
    <w:p w14:paraId="627100A5" w14:textId="77777777" w:rsidR="00247166" w:rsidRDefault="0088558D" w:rsidP="0009703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2708198" w:history="1">
        <w:r w:rsidR="00247166" w:rsidRPr="00C9227D">
          <w:rPr>
            <w:rStyle w:val="Hyperlink"/>
            <w:noProof/>
          </w:rPr>
          <w:t>Observation 8</w:t>
        </w:r>
        <w:r w:rsidR="00247166">
          <w:rPr>
            <w:rFonts w:asciiTheme="minorHAnsi" w:eastAsiaTheme="minorEastAsia" w:hAnsiTheme="minorHAnsi" w:cstheme="minorBidi"/>
            <w:b w:val="0"/>
            <w:noProof/>
            <w:sz w:val="22"/>
            <w:szCs w:val="22"/>
            <w:lang w:eastAsia="en-GB"/>
          </w:rPr>
          <w:tab/>
        </w:r>
        <w:r w:rsidR="00247166" w:rsidRPr="00C9227D">
          <w:rPr>
            <w:rStyle w:val="Hyperlink"/>
            <w:noProof/>
          </w:rPr>
          <w:t>Introducing cell (re)selection compensation for 1 Rx RedCap UEs does not add complexity in Rel-17; otherwise, backwards compatibility issues would arise if done in later releases.</w:t>
        </w:r>
      </w:hyperlink>
    </w:p>
    <w:p w14:paraId="77F73210" w14:textId="2432B44D" w:rsidR="006E1C82" w:rsidRDefault="006F6582" w:rsidP="00097035">
      <w:pPr>
        <w:pStyle w:val="BodyText"/>
        <w:rPr>
          <w:b/>
          <w:bCs/>
        </w:rPr>
      </w:pPr>
      <w:r>
        <w:rPr>
          <w:b/>
          <w:bCs/>
        </w:rPr>
        <w:fldChar w:fldCharType="end"/>
      </w:r>
    </w:p>
    <w:p w14:paraId="61487CD5" w14:textId="77777777" w:rsidR="006E1C82" w:rsidRDefault="008E065E" w:rsidP="00097035">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E9887A9" w14:textId="77777777" w:rsidR="00247166" w:rsidRDefault="006E1C82" w:rsidP="00097035">
      <w:pPr>
        <w:pStyle w:val="TableofFigures"/>
        <w:tabs>
          <w:tab w:val="right" w:leader="dot" w:pos="9629"/>
        </w:tabs>
        <w:jc w:val="both"/>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08199" w:history="1">
        <w:r w:rsidR="00247166" w:rsidRPr="00D560C0">
          <w:rPr>
            <w:rStyle w:val="Hyperlink"/>
            <w:iCs/>
            <w:noProof/>
          </w:rPr>
          <w:t>Proposal 1</w:t>
        </w:r>
        <w:r w:rsidR="00247166">
          <w:rPr>
            <w:rFonts w:asciiTheme="minorHAnsi" w:eastAsiaTheme="minorEastAsia" w:hAnsiTheme="minorHAnsi" w:cstheme="minorBidi"/>
            <w:b w:val="0"/>
            <w:noProof/>
            <w:sz w:val="22"/>
            <w:szCs w:val="22"/>
            <w:lang w:eastAsia="en-GB"/>
          </w:rPr>
          <w:tab/>
        </w:r>
        <w:r w:rsidR="00247166" w:rsidRPr="00D560C0">
          <w:rPr>
            <w:rStyle w:val="Hyperlink"/>
            <w:noProof/>
          </w:rPr>
          <w:t>RedCap UE uses the dedicated LCID in Msg3 whenever CCCH data is included (i.e., no precondition).</w:t>
        </w:r>
      </w:hyperlink>
    </w:p>
    <w:p w14:paraId="7C99371B" w14:textId="77777777" w:rsidR="00247166" w:rsidRDefault="0088558D" w:rsidP="0009703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2708200" w:history="1">
        <w:r w:rsidR="00247166" w:rsidRPr="00D560C0">
          <w:rPr>
            <w:rStyle w:val="Hyperlink"/>
            <w:iCs/>
            <w:noProof/>
          </w:rPr>
          <w:t>Proposal 2</w:t>
        </w:r>
        <w:r w:rsidR="00247166">
          <w:rPr>
            <w:rFonts w:asciiTheme="minorHAnsi" w:eastAsiaTheme="minorEastAsia" w:hAnsiTheme="minorHAnsi" w:cstheme="minorBidi"/>
            <w:b w:val="0"/>
            <w:noProof/>
            <w:sz w:val="22"/>
            <w:szCs w:val="22"/>
            <w:lang w:eastAsia="en-GB"/>
          </w:rPr>
          <w:tab/>
        </w:r>
        <w:r w:rsidR="00247166" w:rsidRPr="00D560C0">
          <w:rPr>
            <w:rStyle w:val="Hyperlink"/>
            <w:noProof/>
          </w:rPr>
          <w:t>In MAC perspective, a RedCap UE uses MsgA PRACH early identification when it transmits preamble for CBRA if MsgA PRACH early identification is configured for RedCap by NW.</w:t>
        </w:r>
      </w:hyperlink>
    </w:p>
    <w:p w14:paraId="1CE40969" w14:textId="77777777" w:rsidR="00247166" w:rsidRDefault="0088558D" w:rsidP="0009703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2708201" w:history="1">
        <w:r w:rsidR="00247166" w:rsidRPr="00D560C0">
          <w:rPr>
            <w:rStyle w:val="Hyperlink"/>
            <w:iCs/>
            <w:noProof/>
          </w:rPr>
          <w:t>Proposal 3</w:t>
        </w:r>
        <w:r w:rsidR="00247166">
          <w:rPr>
            <w:rFonts w:asciiTheme="minorHAnsi" w:eastAsiaTheme="minorEastAsia" w:hAnsiTheme="minorHAnsi" w:cstheme="minorBidi"/>
            <w:b w:val="0"/>
            <w:noProof/>
            <w:sz w:val="22"/>
            <w:szCs w:val="22"/>
            <w:lang w:eastAsia="en-GB"/>
          </w:rPr>
          <w:tab/>
        </w:r>
        <w:r w:rsidR="00247166" w:rsidRPr="00D560C0">
          <w:rPr>
            <w:rStyle w:val="Hyperlink"/>
            <w:noProof/>
          </w:rPr>
          <w:t>For MsgA PRACH early identification, RAN2 confirms both dedicated ROs and dedicated PRACH preamble can be supported from signalling point of view.</w:t>
        </w:r>
      </w:hyperlink>
    </w:p>
    <w:p w14:paraId="7349CBB2" w14:textId="77777777" w:rsidR="00247166" w:rsidRDefault="0088558D" w:rsidP="0009703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2708202" w:history="1">
        <w:r w:rsidR="00247166" w:rsidRPr="00D560C0">
          <w:rPr>
            <w:rStyle w:val="Hyperlink"/>
            <w:iCs/>
            <w:noProof/>
          </w:rPr>
          <w:t>Proposal 4</w:t>
        </w:r>
        <w:r w:rsidR="00247166">
          <w:rPr>
            <w:rFonts w:asciiTheme="minorHAnsi" w:eastAsiaTheme="minorEastAsia" w:hAnsiTheme="minorHAnsi" w:cstheme="minorBidi"/>
            <w:b w:val="0"/>
            <w:noProof/>
            <w:sz w:val="22"/>
            <w:szCs w:val="22"/>
            <w:lang w:eastAsia="en-GB"/>
          </w:rPr>
          <w:tab/>
        </w:r>
        <w:r w:rsidR="00247166" w:rsidRPr="00D560C0">
          <w:rPr>
            <w:rStyle w:val="Hyperlink"/>
            <w:noProof/>
          </w:rPr>
          <w:t>For RedCap, MsgA PRACH early identification is enabled/disabled implicitly by the presence of dedicated RACH configuration for MsgA PRACH early identification.</w:t>
        </w:r>
      </w:hyperlink>
    </w:p>
    <w:p w14:paraId="71186199" w14:textId="77777777" w:rsidR="00247166" w:rsidRDefault="0088558D" w:rsidP="0009703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2708203" w:history="1">
        <w:r w:rsidR="00247166" w:rsidRPr="00D560C0">
          <w:rPr>
            <w:rStyle w:val="Hyperlink"/>
            <w:iCs/>
            <w:noProof/>
          </w:rPr>
          <w:t>Proposal 5</w:t>
        </w:r>
        <w:r w:rsidR="00247166">
          <w:rPr>
            <w:rFonts w:asciiTheme="minorHAnsi" w:eastAsiaTheme="minorEastAsia" w:hAnsiTheme="minorHAnsi" w:cstheme="minorBidi"/>
            <w:b w:val="0"/>
            <w:noProof/>
            <w:sz w:val="22"/>
            <w:szCs w:val="22"/>
            <w:lang w:eastAsia="en-GB"/>
          </w:rPr>
          <w:tab/>
        </w:r>
        <w:r w:rsidR="00247166" w:rsidRPr="00D560C0">
          <w:rPr>
            <w:rStyle w:val="Hyperlink"/>
            <w:noProof/>
          </w:rPr>
          <w:t>RedCap UE uses the dedicated LCID in MsgA PUSCH part whenever CCCH data is included (i.e., no precondition).</w:t>
        </w:r>
      </w:hyperlink>
    </w:p>
    <w:p w14:paraId="4F652730" w14:textId="77777777" w:rsidR="00247166" w:rsidRDefault="0088558D" w:rsidP="0009703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2708204" w:history="1">
        <w:r w:rsidR="00247166" w:rsidRPr="00D560C0">
          <w:rPr>
            <w:rStyle w:val="Hyperlink"/>
            <w:iCs/>
            <w:noProof/>
          </w:rPr>
          <w:t>Proposal 6</w:t>
        </w:r>
        <w:r w:rsidR="00247166">
          <w:rPr>
            <w:rFonts w:asciiTheme="minorHAnsi" w:eastAsiaTheme="minorEastAsia" w:hAnsiTheme="minorHAnsi" w:cstheme="minorBidi"/>
            <w:b w:val="0"/>
            <w:noProof/>
            <w:sz w:val="22"/>
            <w:szCs w:val="22"/>
            <w:lang w:eastAsia="en-GB"/>
          </w:rPr>
          <w:tab/>
        </w:r>
        <w:r w:rsidR="00247166" w:rsidRPr="00D560C0">
          <w:rPr>
            <w:rStyle w:val="Hyperlink"/>
            <w:noProof/>
          </w:rPr>
          <w:t>If cell is barred according to MIB, RedCap UEs follow RedCap specific IFRI in SIB1 if present.</w:t>
        </w:r>
      </w:hyperlink>
    </w:p>
    <w:p w14:paraId="769D38F9" w14:textId="77777777" w:rsidR="00247166" w:rsidRDefault="0088558D" w:rsidP="0009703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2708205" w:history="1">
        <w:r w:rsidR="00247166" w:rsidRPr="00D560C0">
          <w:rPr>
            <w:rStyle w:val="Hyperlink"/>
            <w:iCs/>
            <w:noProof/>
          </w:rPr>
          <w:t>Proposal 7</w:t>
        </w:r>
        <w:r w:rsidR="00247166">
          <w:rPr>
            <w:rFonts w:asciiTheme="minorHAnsi" w:eastAsiaTheme="minorEastAsia" w:hAnsiTheme="minorHAnsi" w:cstheme="minorBidi"/>
            <w:b w:val="0"/>
            <w:noProof/>
            <w:sz w:val="22"/>
            <w:szCs w:val="22"/>
            <w:lang w:eastAsia="en-GB"/>
          </w:rPr>
          <w:tab/>
        </w:r>
        <w:r w:rsidR="00247166" w:rsidRPr="00D560C0">
          <w:rPr>
            <w:rStyle w:val="Hyperlink"/>
            <w:noProof/>
          </w:rPr>
          <w:t>If cell is barred for any reason and RedCap specific IFRI in SIB1 is absent, RedCap UEs follow the legacy IFRI in MIB.</w:t>
        </w:r>
      </w:hyperlink>
    </w:p>
    <w:p w14:paraId="089F8ED0" w14:textId="77777777" w:rsidR="00247166" w:rsidRDefault="0088558D" w:rsidP="0009703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2708206" w:history="1">
        <w:r w:rsidR="00247166" w:rsidRPr="00D560C0">
          <w:rPr>
            <w:rStyle w:val="Hyperlink"/>
            <w:iCs/>
            <w:noProof/>
          </w:rPr>
          <w:t>Proposal 8</w:t>
        </w:r>
        <w:r w:rsidR="00247166">
          <w:rPr>
            <w:rFonts w:asciiTheme="minorHAnsi" w:eastAsiaTheme="minorEastAsia" w:hAnsiTheme="minorHAnsi" w:cstheme="minorBidi"/>
            <w:b w:val="0"/>
            <w:noProof/>
            <w:sz w:val="22"/>
            <w:szCs w:val="22"/>
            <w:lang w:eastAsia="en-GB"/>
          </w:rPr>
          <w:tab/>
        </w:r>
        <w:r w:rsidR="00247166" w:rsidRPr="00D560C0">
          <w:rPr>
            <w:rStyle w:val="Hyperlink"/>
            <w:iCs/>
            <w:noProof/>
          </w:rPr>
          <w:t>Revert the agreement “If RedCap-specific IFRI is absent from broadcast SI, the UE considers the cell does not support RedCap.”</w:t>
        </w:r>
      </w:hyperlink>
    </w:p>
    <w:p w14:paraId="6C3679D5" w14:textId="77777777" w:rsidR="00247166" w:rsidRDefault="0088558D" w:rsidP="0009703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2708207" w:history="1">
        <w:r w:rsidR="00247166" w:rsidRPr="00D560C0">
          <w:rPr>
            <w:rStyle w:val="Hyperlink"/>
            <w:iCs/>
            <w:noProof/>
          </w:rPr>
          <w:t>Proposal 9</w:t>
        </w:r>
        <w:r w:rsidR="00247166">
          <w:rPr>
            <w:rFonts w:asciiTheme="minorHAnsi" w:eastAsiaTheme="minorEastAsia" w:hAnsiTheme="minorHAnsi" w:cstheme="minorBidi"/>
            <w:b w:val="0"/>
            <w:noProof/>
            <w:sz w:val="22"/>
            <w:szCs w:val="22"/>
            <w:lang w:eastAsia="en-GB"/>
          </w:rPr>
          <w:tab/>
        </w:r>
        <w:r w:rsidR="00247166" w:rsidRPr="00D560C0">
          <w:rPr>
            <w:rStyle w:val="Hyperlink"/>
            <w:noProof/>
          </w:rPr>
          <w:t>Information on which neighbour cells accept RedCap UE access is not provided in system information broadcast.</w:t>
        </w:r>
      </w:hyperlink>
    </w:p>
    <w:p w14:paraId="00ECCA08" w14:textId="77777777" w:rsidR="00247166" w:rsidRDefault="0088558D" w:rsidP="00097035">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2708208" w:history="1">
        <w:r w:rsidR="00247166" w:rsidRPr="00D560C0">
          <w:rPr>
            <w:rStyle w:val="Hyperlink"/>
            <w:iCs/>
            <w:noProof/>
          </w:rPr>
          <w:t>Proposal 10</w:t>
        </w:r>
        <w:r w:rsidR="00247166">
          <w:rPr>
            <w:rFonts w:asciiTheme="minorHAnsi" w:eastAsiaTheme="minorEastAsia" w:hAnsiTheme="minorHAnsi" w:cstheme="minorBidi"/>
            <w:b w:val="0"/>
            <w:noProof/>
            <w:sz w:val="22"/>
            <w:szCs w:val="22"/>
            <w:lang w:eastAsia="en-GB"/>
          </w:rPr>
          <w:tab/>
        </w:r>
        <w:r w:rsidR="00247166" w:rsidRPr="00D560C0">
          <w:rPr>
            <w:rStyle w:val="Hyperlink"/>
            <w:noProof/>
          </w:rPr>
          <w:t>Support optional configuration of RedCap specific Q</w:t>
        </w:r>
        <w:r w:rsidR="00247166" w:rsidRPr="00D560C0">
          <w:rPr>
            <w:rStyle w:val="Hyperlink"/>
            <w:noProof/>
            <w:vertAlign w:val="subscript"/>
          </w:rPr>
          <w:t>rxlevmin_1Rx</w:t>
        </w:r>
        <w:r w:rsidR="00247166" w:rsidRPr="00D560C0">
          <w:rPr>
            <w:rStyle w:val="Hyperlink"/>
            <w:noProof/>
          </w:rPr>
          <w:t xml:space="preserve"> and Q</w:t>
        </w:r>
        <w:r w:rsidR="00247166" w:rsidRPr="00D560C0">
          <w:rPr>
            <w:rStyle w:val="Hyperlink"/>
            <w:noProof/>
            <w:vertAlign w:val="subscript"/>
          </w:rPr>
          <w:t>qualmin_1Rx</w:t>
        </w:r>
        <w:r w:rsidR="00247166" w:rsidRPr="00D560C0">
          <w:rPr>
            <w:rStyle w:val="Hyperlink"/>
            <w:noProof/>
          </w:rPr>
          <w:t>.</w:t>
        </w:r>
      </w:hyperlink>
    </w:p>
    <w:p w14:paraId="4ABD0D93" w14:textId="170F4CE1" w:rsidR="00C01F33" w:rsidRPr="00770FED" w:rsidRDefault="006E1C82" w:rsidP="00097035">
      <w:pPr>
        <w:pStyle w:val="BodyText"/>
        <w:rPr>
          <w:b/>
          <w:bCs/>
        </w:rPr>
      </w:pPr>
      <w:r>
        <w:rPr>
          <w:b/>
          <w:bCs/>
          <w:lang w:val="en-US"/>
        </w:rPr>
        <w:fldChar w:fldCharType="end"/>
      </w:r>
      <w:r w:rsidRPr="00CE0424">
        <w:rPr>
          <w:b/>
          <w:bCs/>
        </w:rPr>
        <w:t xml:space="preserve"> </w:t>
      </w:r>
    </w:p>
    <w:p w14:paraId="51BE979E" w14:textId="77777777" w:rsidR="00F507D1" w:rsidRPr="00CE0424" w:rsidRDefault="00F507D1" w:rsidP="00097035">
      <w:pPr>
        <w:pStyle w:val="Heading1"/>
        <w:jc w:val="both"/>
      </w:pPr>
      <w:bookmarkStart w:id="25" w:name="_In-sequence_SDU_delivery"/>
      <w:bookmarkEnd w:id="25"/>
      <w:r w:rsidRPr="00CE0424">
        <w:t>References</w:t>
      </w:r>
    </w:p>
    <w:bookmarkStart w:id="26" w:name="_Ref71021046"/>
    <w:bookmarkStart w:id="27" w:name="_Ref71566419"/>
    <w:p w14:paraId="6BDFE571" w14:textId="5ADA6FEA" w:rsidR="0085382D" w:rsidRDefault="00501176" w:rsidP="00097035">
      <w:pPr>
        <w:pStyle w:val="Reference"/>
        <w:overflowPunct/>
        <w:autoSpaceDE/>
        <w:autoSpaceDN/>
        <w:adjustRightInd/>
        <w:spacing w:line="259" w:lineRule="auto"/>
        <w:textAlignment w:val="auto"/>
      </w:pPr>
      <w:r>
        <w:fldChar w:fldCharType="begin"/>
      </w:r>
      <w:r>
        <w:instrText xml:space="preserve"> HYPERLINK "https://www.3gpp.org/ftp/TSG_RAN/TSG_RAN/TSGR_92e/Docs/RP-211574.zip" </w:instrText>
      </w:r>
      <w:r>
        <w:fldChar w:fldCharType="separate"/>
      </w:r>
      <w:r w:rsidRPr="00501176">
        <w:rPr>
          <w:rStyle w:val="Hyperlink"/>
        </w:rPr>
        <w:t>RP-211574</w:t>
      </w:r>
      <w:r>
        <w:fldChar w:fldCharType="end"/>
      </w:r>
      <w:r w:rsidR="00663BA8">
        <w:rPr>
          <w:rFonts w:eastAsia="MS Mincho"/>
          <w:lang w:eastAsia="en-US"/>
        </w:rPr>
        <w:t>,</w:t>
      </w:r>
      <w:r w:rsidR="0085382D">
        <w:t xml:space="preserve"> </w:t>
      </w:r>
      <w:r w:rsidR="00E1296D">
        <w:t>“</w:t>
      </w:r>
      <w:r w:rsidR="00482855" w:rsidRPr="00482855">
        <w:t>Revised WID on support of reduced capability NR devices</w:t>
      </w:r>
      <w:r w:rsidR="00E1296D">
        <w:t>”</w:t>
      </w:r>
      <w:r w:rsidR="00482855">
        <w:t>,</w:t>
      </w:r>
      <w:r w:rsidR="0085382D">
        <w:t xml:space="preserve"> </w:t>
      </w:r>
      <w:r>
        <w:t xml:space="preserve">Ericsson, </w:t>
      </w:r>
      <w:r w:rsidR="0085382D" w:rsidRPr="00A346CE">
        <w:t>3GPP TSG RAN Meeting #9</w:t>
      </w:r>
      <w:r>
        <w:t>2</w:t>
      </w:r>
      <w:r w:rsidR="0085382D" w:rsidRPr="00A346CE">
        <w:t>e</w:t>
      </w:r>
      <w:r w:rsidR="00482855">
        <w:t xml:space="preserve">, </w:t>
      </w:r>
      <w:r>
        <w:t xml:space="preserve">June </w:t>
      </w:r>
      <w:r w:rsidR="00482855">
        <w:t>2021.</w:t>
      </w:r>
      <w:bookmarkEnd w:id="26"/>
      <w:bookmarkEnd w:id="27"/>
    </w:p>
    <w:p w14:paraId="46D35FEB" w14:textId="3613A12C" w:rsidR="00D26B80" w:rsidRDefault="00D26B80" w:rsidP="00097035">
      <w:pPr>
        <w:pStyle w:val="Reference"/>
        <w:numPr>
          <w:ilvl w:val="0"/>
          <w:numId w:val="0"/>
        </w:numPr>
        <w:ind w:left="567"/>
      </w:pPr>
    </w:p>
    <w:sectPr w:rsidR="00D26B80"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F6AA83" w14:textId="77777777" w:rsidR="000F2AC8" w:rsidRDefault="000F2AC8">
      <w:r>
        <w:separator/>
      </w:r>
    </w:p>
  </w:endnote>
  <w:endnote w:type="continuationSeparator" w:id="0">
    <w:p w14:paraId="4F99E45B" w14:textId="77777777" w:rsidR="000F2AC8" w:rsidRDefault="000F2AC8">
      <w:r>
        <w:continuationSeparator/>
      </w:r>
    </w:p>
  </w:endnote>
  <w:endnote w:type="continuationNotice" w:id="1">
    <w:p w14:paraId="1E8614E3" w14:textId="77777777" w:rsidR="000F2AC8" w:rsidRDefault="000F2A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0C7C0" w14:textId="77777777" w:rsidR="000F2AC8" w:rsidRDefault="000F2A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9926DE" w14:textId="77777777" w:rsidR="000F2AC8" w:rsidRDefault="000F2AC8">
      <w:r>
        <w:separator/>
      </w:r>
    </w:p>
  </w:footnote>
  <w:footnote w:type="continuationSeparator" w:id="0">
    <w:p w14:paraId="03BDB0D9" w14:textId="77777777" w:rsidR="000F2AC8" w:rsidRDefault="000F2AC8">
      <w:r>
        <w:continuationSeparator/>
      </w:r>
    </w:p>
  </w:footnote>
  <w:footnote w:type="continuationNotice" w:id="1">
    <w:p w14:paraId="7B8FD20D" w14:textId="77777777" w:rsidR="000F2AC8" w:rsidRDefault="000F2A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9FFF6" w14:textId="77777777" w:rsidR="000F2AC8" w:rsidRDefault="000F2AC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D92495E"/>
    <w:multiLevelType w:val="hybridMultilevel"/>
    <w:tmpl w:val="98F435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start w:val="1"/>
      <w:numFmt w:val="bullet"/>
      <w:lvlText w:val="o"/>
      <w:lvlJc w:val="left"/>
      <w:pPr>
        <w:tabs>
          <w:tab w:val="num" w:pos="1648"/>
        </w:tabs>
        <w:ind w:left="1648" w:hanging="360"/>
      </w:pPr>
      <w:rPr>
        <w:rFonts w:ascii="Courier New" w:hAnsi="Courier New" w:cs="Times New Roman" w:hint="default"/>
      </w:rPr>
    </w:lvl>
    <w:lvl w:ilvl="2" w:tplc="0BF63FCE">
      <w:start w:val="1"/>
      <w:numFmt w:val="bullet"/>
      <w:lvlText w:val=""/>
      <w:lvlJc w:val="left"/>
      <w:pPr>
        <w:tabs>
          <w:tab w:val="num" w:pos="2368"/>
        </w:tabs>
        <w:ind w:left="2368" w:hanging="360"/>
      </w:pPr>
      <w:rPr>
        <w:rFonts w:ascii="Wingdings" w:hAnsi="Wingdings" w:hint="default"/>
      </w:rPr>
    </w:lvl>
    <w:lvl w:ilvl="3" w:tplc="3E663B02">
      <w:start w:val="1"/>
      <w:numFmt w:val="bullet"/>
      <w:lvlText w:val=""/>
      <w:lvlJc w:val="left"/>
      <w:pPr>
        <w:tabs>
          <w:tab w:val="num" w:pos="3088"/>
        </w:tabs>
        <w:ind w:left="3088" w:hanging="360"/>
      </w:pPr>
      <w:rPr>
        <w:rFonts w:ascii="Symbol" w:hAnsi="Symbol" w:hint="default"/>
      </w:rPr>
    </w:lvl>
    <w:lvl w:ilvl="4" w:tplc="107CE8D0">
      <w:start w:val="1"/>
      <w:numFmt w:val="bullet"/>
      <w:lvlText w:val="o"/>
      <w:lvlJc w:val="left"/>
      <w:pPr>
        <w:tabs>
          <w:tab w:val="num" w:pos="3808"/>
        </w:tabs>
        <w:ind w:left="3808" w:hanging="360"/>
      </w:pPr>
      <w:rPr>
        <w:rFonts w:ascii="Courier New" w:hAnsi="Courier New" w:cs="Times New Roman" w:hint="default"/>
      </w:rPr>
    </w:lvl>
    <w:lvl w:ilvl="5" w:tplc="2158AA1E">
      <w:start w:val="1"/>
      <w:numFmt w:val="bullet"/>
      <w:lvlText w:val=""/>
      <w:lvlJc w:val="left"/>
      <w:pPr>
        <w:tabs>
          <w:tab w:val="num" w:pos="4528"/>
        </w:tabs>
        <w:ind w:left="4528" w:hanging="360"/>
      </w:pPr>
      <w:rPr>
        <w:rFonts w:ascii="Wingdings" w:hAnsi="Wingdings" w:hint="default"/>
      </w:rPr>
    </w:lvl>
    <w:lvl w:ilvl="6" w:tplc="AFF836B2">
      <w:start w:val="1"/>
      <w:numFmt w:val="bullet"/>
      <w:lvlText w:val=""/>
      <w:lvlJc w:val="left"/>
      <w:pPr>
        <w:tabs>
          <w:tab w:val="num" w:pos="5248"/>
        </w:tabs>
        <w:ind w:left="5248" w:hanging="360"/>
      </w:pPr>
      <w:rPr>
        <w:rFonts w:ascii="Symbol" w:hAnsi="Symbol" w:hint="default"/>
      </w:rPr>
    </w:lvl>
    <w:lvl w:ilvl="7" w:tplc="A800BB32">
      <w:start w:val="1"/>
      <w:numFmt w:val="bullet"/>
      <w:lvlText w:val="o"/>
      <w:lvlJc w:val="left"/>
      <w:pPr>
        <w:tabs>
          <w:tab w:val="num" w:pos="5968"/>
        </w:tabs>
        <w:ind w:left="5968" w:hanging="360"/>
      </w:pPr>
      <w:rPr>
        <w:rFonts w:ascii="Courier New" w:hAnsi="Courier New" w:cs="Times New Roman" w:hint="default"/>
      </w:rPr>
    </w:lvl>
    <w:lvl w:ilvl="8" w:tplc="EE1421BA">
      <w:start w:val="1"/>
      <w:numFmt w:val="bullet"/>
      <w:lvlText w:val=""/>
      <w:lvlJc w:val="left"/>
      <w:pPr>
        <w:tabs>
          <w:tab w:val="num" w:pos="6688"/>
        </w:tabs>
        <w:ind w:left="6688" w:hanging="360"/>
      </w:pPr>
      <w:rPr>
        <w:rFonts w:ascii="Wingdings" w:hAnsi="Wingdings" w:hint="default"/>
      </w:rPr>
    </w:lvl>
  </w:abstractNum>
  <w:abstractNum w:abstractNumId="4" w15:restartNumberingAfterBreak="0">
    <w:nsid w:val="12003E10"/>
    <w:multiLevelType w:val="hybridMultilevel"/>
    <w:tmpl w:val="79260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hybridMultilevel"/>
    <w:tmpl w:val="229E57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23133C"/>
    <w:multiLevelType w:val="hybridMultilevel"/>
    <w:tmpl w:val="0ABADC94"/>
    <w:lvl w:ilvl="0" w:tplc="E17A8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286367"/>
    <w:multiLevelType w:val="hybridMultilevel"/>
    <w:tmpl w:val="85B60A3C"/>
    <w:lvl w:ilvl="0" w:tplc="1486C7F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516DB6"/>
    <w:multiLevelType w:val="hybridMultilevel"/>
    <w:tmpl w:val="7E783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F32217"/>
    <w:multiLevelType w:val="multilevel"/>
    <w:tmpl w:val="1BFC0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CA7706"/>
    <w:multiLevelType w:val="hybridMultilevel"/>
    <w:tmpl w:val="AC3889AC"/>
    <w:lvl w:ilvl="0" w:tplc="076E6A9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2A8F623D"/>
    <w:multiLevelType w:val="hybridMultilevel"/>
    <w:tmpl w:val="EEAAB0D2"/>
    <w:lvl w:ilvl="0" w:tplc="05F86014">
      <w:start w:val="2"/>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9A125D"/>
    <w:multiLevelType w:val="multilevel"/>
    <w:tmpl w:val="1BFC0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B7315DF"/>
    <w:multiLevelType w:val="hybridMultilevel"/>
    <w:tmpl w:val="79703AA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BCB48DB"/>
    <w:multiLevelType w:val="hybridMultilevel"/>
    <w:tmpl w:val="7194C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365B73"/>
    <w:multiLevelType w:val="multilevel"/>
    <w:tmpl w:val="1BFC0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01E34CD"/>
    <w:multiLevelType w:val="multilevel"/>
    <w:tmpl w:val="301E34C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13173E2"/>
    <w:multiLevelType w:val="hybridMultilevel"/>
    <w:tmpl w:val="84902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902DE4"/>
    <w:multiLevelType w:val="multilevel"/>
    <w:tmpl w:val="1BFC0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AA46647"/>
    <w:multiLevelType w:val="hybridMultilevel"/>
    <w:tmpl w:val="F5AEDDE4"/>
    <w:lvl w:ilvl="0" w:tplc="2CE6C5AE">
      <w:start w:val="1"/>
      <w:numFmt w:val="decimal"/>
      <w:pStyle w:val="Proposal"/>
      <w:lvlText w:val="Proposal %1"/>
      <w:lvlJc w:val="left"/>
      <w:pPr>
        <w:tabs>
          <w:tab w:val="num" w:pos="1304"/>
        </w:tabs>
        <w:ind w:left="1304" w:hanging="1304"/>
      </w:pPr>
      <w:rPr>
        <w:rFonts w:hint="default"/>
        <w:i w:val="0"/>
        <w:iCs/>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002A2E"/>
    <w:multiLevelType w:val="multilevel"/>
    <w:tmpl w:val="1BFC0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E7E204D"/>
    <w:multiLevelType w:val="hybridMultilevel"/>
    <w:tmpl w:val="D016584C"/>
    <w:lvl w:ilvl="0" w:tplc="D0225F70">
      <w:start w:val="2"/>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1E05FC3"/>
    <w:multiLevelType w:val="hybridMultilevel"/>
    <w:tmpl w:val="E7C63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617541"/>
    <w:multiLevelType w:val="hybridMultilevel"/>
    <w:tmpl w:val="13202836"/>
    <w:lvl w:ilvl="0" w:tplc="84E6FA9A">
      <w:start w:val="1"/>
      <w:numFmt w:val="decimal"/>
      <w:lvlText w:val="%1."/>
      <w:lvlJc w:val="left"/>
      <w:pPr>
        <w:ind w:left="1619"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B66655"/>
    <w:multiLevelType w:val="hybridMultilevel"/>
    <w:tmpl w:val="E8F0DDFC"/>
    <w:lvl w:ilvl="0" w:tplc="0B121F3E">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8" w15:restartNumberingAfterBreak="0">
    <w:nsid w:val="4A950685"/>
    <w:multiLevelType w:val="hybridMultilevel"/>
    <w:tmpl w:val="B90232A4"/>
    <w:lvl w:ilvl="0" w:tplc="F0B05808">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C179F2"/>
    <w:multiLevelType w:val="hybridMultilevel"/>
    <w:tmpl w:val="059A3798"/>
    <w:lvl w:ilvl="0" w:tplc="B406D7A6">
      <w:start w:val="1"/>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705938"/>
    <w:multiLevelType w:val="hybridMultilevel"/>
    <w:tmpl w:val="0226AF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5003497"/>
    <w:multiLevelType w:val="multilevel"/>
    <w:tmpl w:val="1BFC0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0044228"/>
    <w:multiLevelType w:val="multilevel"/>
    <w:tmpl w:val="1BFC0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5692DF6"/>
    <w:multiLevelType w:val="hybridMultilevel"/>
    <w:tmpl w:val="F07EB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57723C"/>
    <w:multiLevelType w:val="hybridMultilevel"/>
    <w:tmpl w:val="6E508D50"/>
    <w:lvl w:ilvl="0" w:tplc="84E6FA9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72A76"/>
    <w:multiLevelType w:val="hybridMultilevel"/>
    <w:tmpl w:val="621AD652"/>
    <w:lvl w:ilvl="0" w:tplc="08090011">
      <w:start w:val="1"/>
      <w:numFmt w:val="decimal"/>
      <w:lvlText w:val="%1)"/>
      <w:lvlJc w:val="left"/>
      <w:pPr>
        <w:ind w:left="72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2" w15:restartNumberingAfterBreak="0">
    <w:nsid w:val="724168D8"/>
    <w:multiLevelType w:val="hybridMultilevel"/>
    <w:tmpl w:val="E63E65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5261114"/>
    <w:multiLevelType w:val="hybridMultilevel"/>
    <w:tmpl w:val="AC0CEB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5" w15:restartNumberingAfterBreak="0">
    <w:nsid w:val="758D7EA7"/>
    <w:multiLevelType w:val="hybridMultilevel"/>
    <w:tmpl w:val="2A427878"/>
    <w:lvl w:ilvl="0" w:tplc="FC5266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6" w15:restartNumberingAfterBreak="0">
    <w:nsid w:val="777C31DB"/>
    <w:multiLevelType w:val="hybridMultilevel"/>
    <w:tmpl w:val="FE2812B8"/>
    <w:lvl w:ilvl="0" w:tplc="BF20C82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29"/>
  </w:num>
  <w:num w:numId="2">
    <w:abstractNumId w:val="22"/>
  </w:num>
  <w:num w:numId="3">
    <w:abstractNumId w:val="0"/>
  </w:num>
  <w:num w:numId="4">
    <w:abstractNumId w:val="31"/>
  </w:num>
  <w:num w:numId="5">
    <w:abstractNumId w:val="32"/>
  </w:num>
  <w:num w:numId="6">
    <w:abstractNumId w:val="35"/>
  </w:num>
  <w:num w:numId="7">
    <w:abstractNumId w:val="8"/>
  </w:num>
  <w:num w:numId="8">
    <w:abstractNumId w:val="11"/>
  </w:num>
  <w:num w:numId="9">
    <w:abstractNumId w:val="2"/>
  </w:num>
  <w:num w:numId="10">
    <w:abstractNumId w:val="43"/>
  </w:num>
  <w:num w:numId="11">
    <w:abstractNumId w:val="20"/>
  </w:num>
  <w:num w:numId="12">
    <w:abstractNumId w:val="39"/>
  </w:num>
  <w:num w:numId="13">
    <w:abstractNumId w:val="40"/>
  </w:num>
  <w:num w:numId="14">
    <w:abstractNumId w:val="19"/>
  </w:num>
  <w:num w:numId="15">
    <w:abstractNumId w:val="5"/>
  </w:num>
  <w:num w:numId="16">
    <w:abstractNumId w:val="15"/>
  </w:num>
  <w:num w:numId="17">
    <w:abstractNumId w:val="45"/>
  </w:num>
  <w:num w:numId="18">
    <w:abstractNumId w:val="7"/>
  </w:num>
  <w:num w:numId="19">
    <w:abstractNumId w:val="12"/>
  </w:num>
  <w:num w:numId="20">
    <w:abstractNumId w:val="28"/>
  </w:num>
  <w:num w:numId="21">
    <w:abstractNumId w:val="24"/>
  </w:num>
  <w:num w:numId="22">
    <w:abstractNumId w:val="25"/>
  </w:num>
  <w:num w:numId="23">
    <w:abstractNumId w:val="33"/>
  </w:num>
  <w:num w:numId="24">
    <w:abstractNumId w:val="6"/>
  </w:num>
  <w:num w:numId="25">
    <w:abstractNumId w:val="46"/>
  </w:num>
  <w:num w:numId="26">
    <w:abstractNumId w:val="38"/>
  </w:num>
  <w:num w:numId="27">
    <w:abstractNumId w:val="4"/>
  </w:num>
  <w:num w:numId="28">
    <w:abstractNumId w:val="26"/>
  </w:num>
  <w:num w:numId="29">
    <w:abstractNumId w:val="1"/>
  </w:num>
  <w:num w:numId="30">
    <w:abstractNumId w:val="44"/>
  </w:num>
  <w:num w:numId="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30"/>
  </w:num>
  <w:num w:numId="35">
    <w:abstractNumId w:val="27"/>
  </w:num>
  <w:num w:numId="36">
    <w:abstractNumId w:val="41"/>
  </w:num>
  <w:num w:numId="37">
    <w:abstractNumId w:val="42"/>
  </w:num>
  <w:num w:numId="38">
    <w:abstractNumId w:val="34"/>
  </w:num>
  <w:num w:numId="39">
    <w:abstractNumId w:val="23"/>
  </w:num>
  <w:num w:numId="40">
    <w:abstractNumId w:val="36"/>
  </w:num>
  <w:num w:numId="41">
    <w:abstractNumId w:val="14"/>
  </w:num>
  <w:num w:numId="42">
    <w:abstractNumId w:val="10"/>
  </w:num>
  <w:num w:numId="43">
    <w:abstractNumId w:val="21"/>
  </w:num>
  <w:num w:numId="44">
    <w:abstractNumId w:val="19"/>
  </w:num>
  <w:num w:numId="45">
    <w:abstractNumId w:val="9"/>
  </w:num>
  <w:num w:numId="46">
    <w:abstractNumId w:val="16"/>
  </w:num>
  <w:num w:numId="47">
    <w:abstractNumId w:val="37"/>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CA"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CA1"/>
    <w:rsid w:val="000006E1"/>
    <w:rsid w:val="00002A37"/>
    <w:rsid w:val="00002C6D"/>
    <w:rsid w:val="00002D9D"/>
    <w:rsid w:val="0000465E"/>
    <w:rsid w:val="0000564C"/>
    <w:rsid w:val="00005D70"/>
    <w:rsid w:val="00006446"/>
    <w:rsid w:val="00006896"/>
    <w:rsid w:val="00007CDC"/>
    <w:rsid w:val="00011B28"/>
    <w:rsid w:val="000127B6"/>
    <w:rsid w:val="00013310"/>
    <w:rsid w:val="0001393A"/>
    <w:rsid w:val="00014A09"/>
    <w:rsid w:val="000159C2"/>
    <w:rsid w:val="00015D15"/>
    <w:rsid w:val="00017CA1"/>
    <w:rsid w:val="00020306"/>
    <w:rsid w:val="000211F9"/>
    <w:rsid w:val="000245B2"/>
    <w:rsid w:val="0002564D"/>
    <w:rsid w:val="00025ECA"/>
    <w:rsid w:val="00026F41"/>
    <w:rsid w:val="00030A47"/>
    <w:rsid w:val="00031177"/>
    <w:rsid w:val="00031645"/>
    <w:rsid w:val="000325B8"/>
    <w:rsid w:val="000328B9"/>
    <w:rsid w:val="00032B0F"/>
    <w:rsid w:val="0003488F"/>
    <w:rsid w:val="00034C15"/>
    <w:rsid w:val="00036BA1"/>
    <w:rsid w:val="00037D71"/>
    <w:rsid w:val="000422E2"/>
    <w:rsid w:val="00042F22"/>
    <w:rsid w:val="000433DC"/>
    <w:rsid w:val="00043671"/>
    <w:rsid w:val="0004430D"/>
    <w:rsid w:val="000444EF"/>
    <w:rsid w:val="0004676B"/>
    <w:rsid w:val="00046805"/>
    <w:rsid w:val="00047776"/>
    <w:rsid w:val="00050DAF"/>
    <w:rsid w:val="00052A07"/>
    <w:rsid w:val="000534E3"/>
    <w:rsid w:val="00053C0B"/>
    <w:rsid w:val="00053DD8"/>
    <w:rsid w:val="000543A4"/>
    <w:rsid w:val="0005606A"/>
    <w:rsid w:val="000563C3"/>
    <w:rsid w:val="00056529"/>
    <w:rsid w:val="000565ED"/>
    <w:rsid w:val="00057117"/>
    <w:rsid w:val="00057165"/>
    <w:rsid w:val="000571C8"/>
    <w:rsid w:val="000600D2"/>
    <w:rsid w:val="000616E7"/>
    <w:rsid w:val="000638EE"/>
    <w:rsid w:val="0006487E"/>
    <w:rsid w:val="00065E1A"/>
    <w:rsid w:val="00066FEF"/>
    <w:rsid w:val="00067580"/>
    <w:rsid w:val="00070606"/>
    <w:rsid w:val="00071AD2"/>
    <w:rsid w:val="00072A2D"/>
    <w:rsid w:val="000742D6"/>
    <w:rsid w:val="00075F23"/>
    <w:rsid w:val="000766AB"/>
    <w:rsid w:val="00077E5F"/>
    <w:rsid w:val="00077ED1"/>
    <w:rsid w:val="0008036A"/>
    <w:rsid w:val="00081AE6"/>
    <w:rsid w:val="00082F5B"/>
    <w:rsid w:val="00084537"/>
    <w:rsid w:val="000855EB"/>
    <w:rsid w:val="00085B52"/>
    <w:rsid w:val="00085CA9"/>
    <w:rsid w:val="000866F2"/>
    <w:rsid w:val="0009009F"/>
    <w:rsid w:val="00091180"/>
    <w:rsid w:val="0009144B"/>
    <w:rsid w:val="00091557"/>
    <w:rsid w:val="0009155A"/>
    <w:rsid w:val="000924C1"/>
    <w:rsid w:val="000924F0"/>
    <w:rsid w:val="00093474"/>
    <w:rsid w:val="00094D12"/>
    <w:rsid w:val="0009510F"/>
    <w:rsid w:val="00097035"/>
    <w:rsid w:val="000A0E97"/>
    <w:rsid w:val="000A1733"/>
    <w:rsid w:val="000A1B7B"/>
    <w:rsid w:val="000A2C25"/>
    <w:rsid w:val="000A3300"/>
    <w:rsid w:val="000A446E"/>
    <w:rsid w:val="000A45A9"/>
    <w:rsid w:val="000A56F2"/>
    <w:rsid w:val="000A71E1"/>
    <w:rsid w:val="000A7F3E"/>
    <w:rsid w:val="000B0BA5"/>
    <w:rsid w:val="000B0EB4"/>
    <w:rsid w:val="000B1DEB"/>
    <w:rsid w:val="000B2719"/>
    <w:rsid w:val="000B3A8F"/>
    <w:rsid w:val="000B4AB9"/>
    <w:rsid w:val="000B4D6E"/>
    <w:rsid w:val="000B58C3"/>
    <w:rsid w:val="000B61E9"/>
    <w:rsid w:val="000B656A"/>
    <w:rsid w:val="000B686D"/>
    <w:rsid w:val="000B6D10"/>
    <w:rsid w:val="000B7AE4"/>
    <w:rsid w:val="000B7D50"/>
    <w:rsid w:val="000C165A"/>
    <w:rsid w:val="000C22E1"/>
    <w:rsid w:val="000C2E19"/>
    <w:rsid w:val="000C383E"/>
    <w:rsid w:val="000C4B85"/>
    <w:rsid w:val="000C5AB8"/>
    <w:rsid w:val="000C5E29"/>
    <w:rsid w:val="000C6639"/>
    <w:rsid w:val="000C663E"/>
    <w:rsid w:val="000C7819"/>
    <w:rsid w:val="000D0D07"/>
    <w:rsid w:val="000D3AB4"/>
    <w:rsid w:val="000D464B"/>
    <w:rsid w:val="000D4797"/>
    <w:rsid w:val="000D783C"/>
    <w:rsid w:val="000E0527"/>
    <w:rsid w:val="000E1330"/>
    <w:rsid w:val="000E1AA5"/>
    <w:rsid w:val="000E1E92"/>
    <w:rsid w:val="000E2A82"/>
    <w:rsid w:val="000E4862"/>
    <w:rsid w:val="000E4E3A"/>
    <w:rsid w:val="000E54C3"/>
    <w:rsid w:val="000F06D6"/>
    <w:rsid w:val="000F09DC"/>
    <w:rsid w:val="000F0EB1"/>
    <w:rsid w:val="000F1106"/>
    <w:rsid w:val="000F2AC8"/>
    <w:rsid w:val="000F3BE9"/>
    <w:rsid w:val="000F3F6C"/>
    <w:rsid w:val="000F5463"/>
    <w:rsid w:val="000F6DF3"/>
    <w:rsid w:val="000F7214"/>
    <w:rsid w:val="001005FF"/>
    <w:rsid w:val="00100987"/>
    <w:rsid w:val="00102D6B"/>
    <w:rsid w:val="00103CD2"/>
    <w:rsid w:val="001062FB"/>
    <w:rsid w:val="001063E6"/>
    <w:rsid w:val="00106899"/>
    <w:rsid w:val="001112F5"/>
    <w:rsid w:val="00112B5F"/>
    <w:rsid w:val="00113CF4"/>
    <w:rsid w:val="00114B36"/>
    <w:rsid w:val="00114BF0"/>
    <w:rsid w:val="001153EA"/>
    <w:rsid w:val="0011562B"/>
    <w:rsid w:val="00115643"/>
    <w:rsid w:val="00116765"/>
    <w:rsid w:val="001169A3"/>
    <w:rsid w:val="001203DB"/>
    <w:rsid w:val="0012148F"/>
    <w:rsid w:val="001219F5"/>
    <w:rsid w:val="00121A20"/>
    <w:rsid w:val="00121B7E"/>
    <w:rsid w:val="00121C3C"/>
    <w:rsid w:val="0012297F"/>
    <w:rsid w:val="0012377F"/>
    <w:rsid w:val="00124314"/>
    <w:rsid w:val="001244BC"/>
    <w:rsid w:val="00125202"/>
    <w:rsid w:val="00126407"/>
    <w:rsid w:val="00126B4A"/>
    <w:rsid w:val="00126E28"/>
    <w:rsid w:val="00127729"/>
    <w:rsid w:val="00132794"/>
    <w:rsid w:val="00132FD0"/>
    <w:rsid w:val="001344C0"/>
    <w:rsid w:val="001346FA"/>
    <w:rsid w:val="00135252"/>
    <w:rsid w:val="0013569B"/>
    <w:rsid w:val="00137AB5"/>
    <w:rsid w:val="00137F0B"/>
    <w:rsid w:val="00140DD1"/>
    <w:rsid w:val="001413AA"/>
    <w:rsid w:val="00141F14"/>
    <w:rsid w:val="00141F8A"/>
    <w:rsid w:val="001425A8"/>
    <w:rsid w:val="001425E5"/>
    <w:rsid w:val="00143090"/>
    <w:rsid w:val="00143216"/>
    <w:rsid w:val="0014366F"/>
    <w:rsid w:val="00143978"/>
    <w:rsid w:val="001505D0"/>
    <w:rsid w:val="00151E23"/>
    <w:rsid w:val="00151F01"/>
    <w:rsid w:val="00152443"/>
    <w:rsid w:val="001526C6"/>
    <w:rsid w:val="001526E0"/>
    <w:rsid w:val="001551B5"/>
    <w:rsid w:val="00157EB7"/>
    <w:rsid w:val="001612B7"/>
    <w:rsid w:val="0016213E"/>
    <w:rsid w:val="00163D87"/>
    <w:rsid w:val="00164ADB"/>
    <w:rsid w:val="001659C1"/>
    <w:rsid w:val="0016622E"/>
    <w:rsid w:val="00170A9E"/>
    <w:rsid w:val="00170AA3"/>
    <w:rsid w:val="00171D16"/>
    <w:rsid w:val="0017294E"/>
    <w:rsid w:val="00173635"/>
    <w:rsid w:val="00173731"/>
    <w:rsid w:val="00173A8E"/>
    <w:rsid w:val="0017478F"/>
    <w:rsid w:val="0017502C"/>
    <w:rsid w:val="00176D33"/>
    <w:rsid w:val="00181034"/>
    <w:rsid w:val="0018143F"/>
    <w:rsid w:val="00181FF8"/>
    <w:rsid w:val="0018228D"/>
    <w:rsid w:val="00184758"/>
    <w:rsid w:val="001856BA"/>
    <w:rsid w:val="00186784"/>
    <w:rsid w:val="001869FA"/>
    <w:rsid w:val="0018745F"/>
    <w:rsid w:val="00187AA2"/>
    <w:rsid w:val="00190AC1"/>
    <w:rsid w:val="00191768"/>
    <w:rsid w:val="00191B2A"/>
    <w:rsid w:val="0019341A"/>
    <w:rsid w:val="00197DF9"/>
    <w:rsid w:val="001A1987"/>
    <w:rsid w:val="001A2564"/>
    <w:rsid w:val="001A2AC5"/>
    <w:rsid w:val="001A3EFC"/>
    <w:rsid w:val="001A4BF5"/>
    <w:rsid w:val="001A5143"/>
    <w:rsid w:val="001A6173"/>
    <w:rsid w:val="001A6CBA"/>
    <w:rsid w:val="001B0D97"/>
    <w:rsid w:val="001B1EBA"/>
    <w:rsid w:val="001B2359"/>
    <w:rsid w:val="001B36B7"/>
    <w:rsid w:val="001B4C4E"/>
    <w:rsid w:val="001B5A5D"/>
    <w:rsid w:val="001B7109"/>
    <w:rsid w:val="001C1CE5"/>
    <w:rsid w:val="001C23A7"/>
    <w:rsid w:val="001C3D2A"/>
    <w:rsid w:val="001C49A1"/>
    <w:rsid w:val="001C57DD"/>
    <w:rsid w:val="001C6DE3"/>
    <w:rsid w:val="001C74C1"/>
    <w:rsid w:val="001C7745"/>
    <w:rsid w:val="001D1271"/>
    <w:rsid w:val="001D14A2"/>
    <w:rsid w:val="001D174A"/>
    <w:rsid w:val="001D1A92"/>
    <w:rsid w:val="001D1F56"/>
    <w:rsid w:val="001D5142"/>
    <w:rsid w:val="001D51BA"/>
    <w:rsid w:val="001D53E7"/>
    <w:rsid w:val="001D6342"/>
    <w:rsid w:val="001D6C10"/>
    <w:rsid w:val="001D6D53"/>
    <w:rsid w:val="001E132F"/>
    <w:rsid w:val="001E58E2"/>
    <w:rsid w:val="001E66C5"/>
    <w:rsid w:val="001E7AED"/>
    <w:rsid w:val="001F1646"/>
    <w:rsid w:val="001F186A"/>
    <w:rsid w:val="001F3916"/>
    <w:rsid w:val="001F458E"/>
    <w:rsid w:val="001F54C5"/>
    <w:rsid w:val="001F662C"/>
    <w:rsid w:val="001F7074"/>
    <w:rsid w:val="001F7D08"/>
    <w:rsid w:val="00200490"/>
    <w:rsid w:val="00201717"/>
    <w:rsid w:val="00201F3A"/>
    <w:rsid w:val="00202802"/>
    <w:rsid w:val="00203F96"/>
    <w:rsid w:val="00205CCE"/>
    <w:rsid w:val="00206161"/>
    <w:rsid w:val="002069B2"/>
    <w:rsid w:val="00207FA3"/>
    <w:rsid w:val="002105C4"/>
    <w:rsid w:val="00213E3C"/>
    <w:rsid w:val="00214DA8"/>
    <w:rsid w:val="00215423"/>
    <w:rsid w:val="0021580C"/>
    <w:rsid w:val="002158FA"/>
    <w:rsid w:val="00215D79"/>
    <w:rsid w:val="002204A7"/>
    <w:rsid w:val="00220600"/>
    <w:rsid w:val="002206A0"/>
    <w:rsid w:val="002224DB"/>
    <w:rsid w:val="00223AF1"/>
    <w:rsid w:val="00223FCB"/>
    <w:rsid w:val="00223FE2"/>
    <w:rsid w:val="002252C3"/>
    <w:rsid w:val="002254AD"/>
    <w:rsid w:val="00225C54"/>
    <w:rsid w:val="00227F36"/>
    <w:rsid w:val="00230765"/>
    <w:rsid w:val="00230D18"/>
    <w:rsid w:val="00230FEC"/>
    <w:rsid w:val="002319E4"/>
    <w:rsid w:val="002347AF"/>
    <w:rsid w:val="0023537E"/>
    <w:rsid w:val="00235632"/>
    <w:rsid w:val="00235872"/>
    <w:rsid w:val="00235FD7"/>
    <w:rsid w:val="00240A43"/>
    <w:rsid w:val="00241559"/>
    <w:rsid w:val="00241907"/>
    <w:rsid w:val="0024219C"/>
    <w:rsid w:val="002435B3"/>
    <w:rsid w:val="00243E30"/>
    <w:rsid w:val="00244ABB"/>
    <w:rsid w:val="002458EB"/>
    <w:rsid w:val="00245EBD"/>
    <w:rsid w:val="00246399"/>
    <w:rsid w:val="002465A7"/>
    <w:rsid w:val="00246882"/>
    <w:rsid w:val="00247166"/>
    <w:rsid w:val="002500C8"/>
    <w:rsid w:val="00250D18"/>
    <w:rsid w:val="0025634B"/>
    <w:rsid w:val="0025676C"/>
    <w:rsid w:val="00256F6E"/>
    <w:rsid w:val="00257543"/>
    <w:rsid w:val="002579B3"/>
    <w:rsid w:val="002617E7"/>
    <w:rsid w:val="0026261E"/>
    <w:rsid w:val="00262E97"/>
    <w:rsid w:val="00264228"/>
    <w:rsid w:val="00264334"/>
    <w:rsid w:val="0026473E"/>
    <w:rsid w:val="00264EA3"/>
    <w:rsid w:val="00266214"/>
    <w:rsid w:val="00266657"/>
    <w:rsid w:val="002670D1"/>
    <w:rsid w:val="00267C83"/>
    <w:rsid w:val="002705FE"/>
    <w:rsid w:val="0027144F"/>
    <w:rsid w:val="00271813"/>
    <w:rsid w:val="00271F3A"/>
    <w:rsid w:val="00273278"/>
    <w:rsid w:val="002737F4"/>
    <w:rsid w:val="00275417"/>
    <w:rsid w:val="00275F35"/>
    <w:rsid w:val="00276C22"/>
    <w:rsid w:val="00277355"/>
    <w:rsid w:val="00277DDB"/>
    <w:rsid w:val="002805F5"/>
    <w:rsid w:val="00280751"/>
    <w:rsid w:val="00281202"/>
    <w:rsid w:val="00282360"/>
    <w:rsid w:val="0028280A"/>
    <w:rsid w:val="002845B0"/>
    <w:rsid w:val="00284D98"/>
    <w:rsid w:val="00286ACD"/>
    <w:rsid w:val="00287073"/>
    <w:rsid w:val="00287838"/>
    <w:rsid w:val="002907B5"/>
    <w:rsid w:val="00292EB7"/>
    <w:rsid w:val="00296227"/>
    <w:rsid w:val="00296F44"/>
    <w:rsid w:val="0029777D"/>
    <w:rsid w:val="00297F7B"/>
    <w:rsid w:val="002A051A"/>
    <w:rsid w:val="002A055E"/>
    <w:rsid w:val="002A188E"/>
    <w:rsid w:val="002A1B1D"/>
    <w:rsid w:val="002A1D4E"/>
    <w:rsid w:val="002A2869"/>
    <w:rsid w:val="002B050C"/>
    <w:rsid w:val="002B1936"/>
    <w:rsid w:val="002B1BC7"/>
    <w:rsid w:val="002B248D"/>
    <w:rsid w:val="002B24D6"/>
    <w:rsid w:val="002B250C"/>
    <w:rsid w:val="002B394F"/>
    <w:rsid w:val="002B39B0"/>
    <w:rsid w:val="002B4666"/>
    <w:rsid w:val="002B6268"/>
    <w:rsid w:val="002B7C31"/>
    <w:rsid w:val="002C1843"/>
    <w:rsid w:val="002C28F8"/>
    <w:rsid w:val="002C2E9B"/>
    <w:rsid w:val="002C3F12"/>
    <w:rsid w:val="002C41E6"/>
    <w:rsid w:val="002C5B12"/>
    <w:rsid w:val="002C665C"/>
    <w:rsid w:val="002D071A"/>
    <w:rsid w:val="002D0F96"/>
    <w:rsid w:val="002D1498"/>
    <w:rsid w:val="002D14D2"/>
    <w:rsid w:val="002D2AF0"/>
    <w:rsid w:val="002D34B2"/>
    <w:rsid w:val="002D48B0"/>
    <w:rsid w:val="002D5921"/>
    <w:rsid w:val="002D5B37"/>
    <w:rsid w:val="002D6084"/>
    <w:rsid w:val="002D7637"/>
    <w:rsid w:val="002E065C"/>
    <w:rsid w:val="002E15C2"/>
    <w:rsid w:val="002E17F2"/>
    <w:rsid w:val="002E2778"/>
    <w:rsid w:val="002E69B0"/>
    <w:rsid w:val="002E7CAE"/>
    <w:rsid w:val="002F0BFB"/>
    <w:rsid w:val="002F2771"/>
    <w:rsid w:val="002F37A9"/>
    <w:rsid w:val="002F6FFA"/>
    <w:rsid w:val="002F7AFC"/>
    <w:rsid w:val="002F7BD8"/>
    <w:rsid w:val="003010EE"/>
    <w:rsid w:val="00301103"/>
    <w:rsid w:val="00301CE6"/>
    <w:rsid w:val="0030200E"/>
    <w:rsid w:val="003020E5"/>
    <w:rsid w:val="00302389"/>
    <w:rsid w:val="0030256B"/>
    <w:rsid w:val="00303445"/>
    <w:rsid w:val="0030501F"/>
    <w:rsid w:val="00305C23"/>
    <w:rsid w:val="00305CE7"/>
    <w:rsid w:val="00307BA1"/>
    <w:rsid w:val="00310010"/>
    <w:rsid w:val="00310736"/>
    <w:rsid w:val="0031108F"/>
    <w:rsid w:val="00311702"/>
    <w:rsid w:val="00311E82"/>
    <w:rsid w:val="003129E2"/>
    <w:rsid w:val="00312EA9"/>
    <w:rsid w:val="00312EF9"/>
    <w:rsid w:val="00313FD6"/>
    <w:rsid w:val="00314242"/>
    <w:rsid w:val="003143BD"/>
    <w:rsid w:val="003145DD"/>
    <w:rsid w:val="003151F9"/>
    <w:rsid w:val="00315363"/>
    <w:rsid w:val="00315B17"/>
    <w:rsid w:val="0031691F"/>
    <w:rsid w:val="003203ED"/>
    <w:rsid w:val="003208B1"/>
    <w:rsid w:val="00321EE6"/>
    <w:rsid w:val="00322C9F"/>
    <w:rsid w:val="00323DEB"/>
    <w:rsid w:val="00324424"/>
    <w:rsid w:val="00324D23"/>
    <w:rsid w:val="00327609"/>
    <w:rsid w:val="00331751"/>
    <w:rsid w:val="00331ECE"/>
    <w:rsid w:val="00332F2C"/>
    <w:rsid w:val="00334579"/>
    <w:rsid w:val="00335858"/>
    <w:rsid w:val="00335CC0"/>
    <w:rsid w:val="003363A7"/>
    <w:rsid w:val="00336BDA"/>
    <w:rsid w:val="00337A17"/>
    <w:rsid w:val="003405DC"/>
    <w:rsid w:val="003428C8"/>
    <w:rsid w:val="00342BD7"/>
    <w:rsid w:val="00346579"/>
    <w:rsid w:val="00346DB5"/>
    <w:rsid w:val="003477B1"/>
    <w:rsid w:val="00351053"/>
    <w:rsid w:val="0035120A"/>
    <w:rsid w:val="00354BA1"/>
    <w:rsid w:val="00355DAC"/>
    <w:rsid w:val="003562B7"/>
    <w:rsid w:val="0035709E"/>
    <w:rsid w:val="00357380"/>
    <w:rsid w:val="003602D9"/>
    <w:rsid w:val="003604CE"/>
    <w:rsid w:val="00360F03"/>
    <w:rsid w:val="00364697"/>
    <w:rsid w:val="003658DF"/>
    <w:rsid w:val="00370002"/>
    <w:rsid w:val="00370E47"/>
    <w:rsid w:val="003722AD"/>
    <w:rsid w:val="003742AC"/>
    <w:rsid w:val="00374CED"/>
    <w:rsid w:val="00375692"/>
    <w:rsid w:val="00375699"/>
    <w:rsid w:val="0037681A"/>
    <w:rsid w:val="00376989"/>
    <w:rsid w:val="00377CE1"/>
    <w:rsid w:val="00381B90"/>
    <w:rsid w:val="00381EE0"/>
    <w:rsid w:val="00382521"/>
    <w:rsid w:val="003839AE"/>
    <w:rsid w:val="00384E6D"/>
    <w:rsid w:val="00385039"/>
    <w:rsid w:val="00385BF0"/>
    <w:rsid w:val="003869FE"/>
    <w:rsid w:val="003872A4"/>
    <w:rsid w:val="0039019C"/>
    <w:rsid w:val="003921F6"/>
    <w:rsid w:val="00392245"/>
    <w:rsid w:val="003929C2"/>
    <w:rsid w:val="00393518"/>
    <w:rsid w:val="003939FF"/>
    <w:rsid w:val="00394D07"/>
    <w:rsid w:val="00395CF1"/>
    <w:rsid w:val="00395D8B"/>
    <w:rsid w:val="00396907"/>
    <w:rsid w:val="0039728D"/>
    <w:rsid w:val="00397D31"/>
    <w:rsid w:val="003A12B0"/>
    <w:rsid w:val="003A2223"/>
    <w:rsid w:val="003A2A0F"/>
    <w:rsid w:val="003A330E"/>
    <w:rsid w:val="003A45A1"/>
    <w:rsid w:val="003A4DA3"/>
    <w:rsid w:val="003A4E42"/>
    <w:rsid w:val="003A5B0A"/>
    <w:rsid w:val="003A6BAC"/>
    <w:rsid w:val="003A70A4"/>
    <w:rsid w:val="003A7653"/>
    <w:rsid w:val="003A7EF3"/>
    <w:rsid w:val="003B10E2"/>
    <w:rsid w:val="003B159C"/>
    <w:rsid w:val="003B361F"/>
    <w:rsid w:val="003B369F"/>
    <w:rsid w:val="003B36A3"/>
    <w:rsid w:val="003B47A2"/>
    <w:rsid w:val="003B4E22"/>
    <w:rsid w:val="003B5215"/>
    <w:rsid w:val="003B5C9B"/>
    <w:rsid w:val="003B64BB"/>
    <w:rsid w:val="003B66F0"/>
    <w:rsid w:val="003B6944"/>
    <w:rsid w:val="003B6DDE"/>
    <w:rsid w:val="003B7606"/>
    <w:rsid w:val="003B7FE5"/>
    <w:rsid w:val="003C11C8"/>
    <w:rsid w:val="003C24F1"/>
    <w:rsid w:val="003C2702"/>
    <w:rsid w:val="003C2D35"/>
    <w:rsid w:val="003C3D25"/>
    <w:rsid w:val="003C508C"/>
    <w:rsid w:val="003C5FB5"/>
    <w:rsid w:val="003C76C7"/>
    <w:rsid w:val="003C7806"/>
    <w:rsid w:val="003D040D"/>
    <w:rsid w:val="003D06CD"/>
    <w:rsid w:val="003D0960"/>
    <w:rsid w:val="003D109F"/>
    <w:rsid w:val="003D2478"/>
    <w:rsid w:val="003D2C3D"/>
    <w:rsid w:val="003D3C45"/>
    <w:rsid w:val="003D40E7"/>
    <w:rsid w:val="003D4F2F"/>
    <w:rsid w:val="003D5B1F"/>
    <w:rsid w:val="003E15FA"/>
    <w:rsid w:val="003E260D"/>
    <w:rsid w:val="003E2D23"/>
    <w:rsid w:val="003E3AF0"/>
    <w:rsid w:val="003E50D5"/>
    <w:rsid w:val="003E5213"/>
    <w:rsid w:val="003E55E4"/>
    <w:rsid w:val="003E74E3"/>
    <w:rsid w:val="003F05C7"/>
    <w:rsid w:val="003F20AF"/>
    <w:rsid w:val="003F2AC6"/>
    <w:rsid w:val="003F2CD4"/>
    <w:rsid w:val="003F3FB7"/>
    <w:rsid w:val="003F594E"/>
    <w:rsid w:val="003F6BBE"/>
    <w:rsid w:val="004000E8"/>
    <w:rsid w:val="004010A4"/>
    <w:rsid w:val="00402E2B"/>
    <w:rsid w:val="00405014"/>
    <w:rsid w:val="0040512B"/>
    <w:rsid w:val="004052FF"/>
    <w:rsid w:val="00405CA5"/>
    <w:rsid w:val="004078A1"/>
    <w:rsid w:val="00407CD3"/>
    <w:rsid w:val="00407E6A"/>
    <w:rsid w:val="00410134"/>
    <w:rsid w:val="00410B72"/>
    <w:rsid w:val="00410F18"/>
    <w:rsid w:val="00412200"/>
    <w:rsid w:val="0041263E"/>
    <w:rsid w:val="00412AAF"/>
    <w:rsid w:val="00413A96"/>
    <w:rsid w:val="00413AAC"/>
    <w:rsid w:val="00413E92"/>
    <w:rsid w:val="00414D2D"/>
    <w:rsid w:val="00416EF4"/>
    <w:rsid w:val="00420D44"/>
    <w:rsid w:val="00421105"/>
    <w:rsid w:val="00422AA4"/>
    <w:rsid w:val="00422C85"/>
    <w:rsid w:val="004242F4"/>
    <w:rsid w:val="004249C9"/>
    <w:rsid w:val="004253DD"/>
    <w:rsid w:val="00425995"/>
    <w:rsid w:val="004262BB"/>
    <w:rsid w:val="00426597"/>
    <w:rsid w:val="00426827"/>
    <w:rsid w:val="00427248"/>
    <w:rsid w:val="004341F0"/>
    <w:rsid w:val="00435B8E"/>
    <w:rsid w:val="00437049"/>
    <w:rsid w:val="00437447"/>
    <w:rsid w:val="004402D0"/>
    <w:rsid w:val="00441A92"/>
    <w:rsid w:val="00442BD8"/>
    <w:rsid w:val="004431DC"/>
    <w:rsid w:val="004434D3"/>
    <w:rsid w:val="00443AB4"/>
    <w:rsid w:val="00444F56"/>
    <w:rsid w:val="00446488"/>
    <w:rsid w:val="004517AA"/>
    <w:rsid w:val="00451ABB"/>
    <w:rsid w:val="00452A11"/>
    <w:rsid w:val="00452CAC"/>
    <w:rsid w:val="0045306F"/>
    <w:rsid w:val="00456204"/>
    <w:rsid w:val="00457322"/>
    <w:rsid w:val="00457565"/>
    <w:rsid w:val="00457B71"/>
    <w:rsid w:val="00457D3B"/>
    <w:rsid w:val="004617D1"/>
    <w:rsid w:val="00461CE4"/>
    <w:rsid w:val="00462F3E"/>
    <w:rsid w:val="00464C08"/>
    <w:rsid w:val="00464DDB"/>
    <w:rsid w:val="004669E2"/>
    <w:rsid w:val="00467F1A"/>
    <w:rsid w:val="00470C31"/>
    <w:rsid w:val="00471216"/>
    <w:rsid w:val="00471C23"/>
    <w:rsid w:val="00471DE0"/>
    <w:rsid w:val="00472DB8"/>
    <w:rsid w:val="004733FB"/>
    <w:rsid w:val="004734D0"/>
    <w:rsid w:val="004749DF"/>
    <w:rsid w:val="0047556B"/>
    <w:rsid w:val="00475B26"/>
    <w:rsid w:val="004761DB"/>
    <w:rsid w:val="00476A85"/>
    <w:rsid w:val="00476F18"/>
    <w:rsid w:val="00477768"/>
    <w:rsid w:val="00481248"/>
    <w:rsid w:val="00482020"/>
    <w:rsid w:val="0048220D"/>
    <w:rsid w:val="00482855"/>
    <w:rsid w:val="00482DD8"/>
    <w:rsid w:val="00483DC5"/>
    <w:rsid w:val="00484418"/>
    <w:rsid w:val="00486520"/>
    <w:rsid w:val="00491B38"/>
    <w:rsid w:val="00492BC5"/>
    <w:rsid w:val="00495374"/>
    <w:rsid w:val="004964F1"/>
    <w:rsid w:val="00497CD2"/>
    <w:rsid w:val="004A16BC"/>
    <w:rsid w:val="004A20FC"/>
    <w:rsid w:val="004A2B94"/>
    <w:rsid w:val="004A2D05"/>
    <w:rsid w:val="004A2E55"/>
    <w:rsid w:val="004A3C2F"/>
    <w:rsid w:val="004A5096"/>
    <w:rsid w:val="004A50C1"/>
    <w:rsid w:val="004A6B27"/>
    <w:rsid w:val="004A6E52"/>
    <w:rsid w:val="004A75EE"/>
    <w:rsid w:val="004B0147"/>
    <w:rsid w:val="004B01F0"/>
    <w:rsid w:val="004B16B7"/>
    <w:rsid w:val="004B321D"/>
    <w:rsid w:val="004B339C"/>
    <w:rsid w:val="004B34FA"/>
    <w:rsid w:val="004B59E0"/>
    <w:rsid w:val="004B5B29"/>
    <w:rsid w:val="004B5D76"/>
    <w:rsid w:val="004B6380"/>
    <w:rsid w:val="004B6F6A"/>
    <w:rsid w:val="004B7175"/>
    <w:rsid w:val="004B7982"/>
    <w:rsid w:val="004B7BDE"/>
    <w:rsid w:val="004B7C0C"/>
    <w:rsid w:val="004C1F2B"/>
    <w:rsid w:val="004C252A"/>
    <w:rsid w:val="004C2B1B"/>
    <w:rsid w:val="004C3016"/>
    <w:rsid w:val="004C3898"/>
    <w:rsid w:val="004C6C45"/>
    <w:rsid w:val="004C6CE3"/>
    <w:rsid w:val="004C77CD"/>
    <w:rsid w:val="004C7EF0"/>
    <w:rsid w:val="004D1D22"/>
    <w:rsid w:val="004D2F34"/>
    <w:rsid w:val="004D34E0"/>
    <w:rsid w:val="004D36B1"/>
    <w:rsid w:val="004D3CF7"/>
    <w:rsid w:val="004D5568"/>
    <w:rsid w:val="004D5908"/>
    <w:rsid w:val="004D6011"/>
    <w:rsid w:val="004D619B"/>
    <w:rsid w:val="004D7EBD"/>
    <w:rsid w:val="004E135B"/>
    <w:rsid w:val="004E1A69"/>
    <w:rsid w:val="004E2454"/>
    <w:rsid w:val="004E2680"/>
    <w:rsid w:val="004E28F9"/>
    <w:rsid w:val="004E2C72"/>
    <w:rsid w:val="004E3868"/>
    <w:rsid w:val="004E462E"/>
    <w:rsid w:val="004E56DC"/>
    <w:rsid w:val="004E5B57"/>
    <w:rsid w:val="004E65AA"/>
    <w:rsid w:val="004E7264"/>
    <w:rsid w:val="004E76F4"/>
    <w:rsid w:val="004F0B4E"/>
    <w:rsid w:val="004F0B6C"/>
    <w:rsid w:val="004F1BC2"/>
    <w:rsid w:val="004F2078"/>
    <w:rsid w:val="004F4DA3"/>
    <w:rsid w:val="004F7A4A"/>
    <w:rsid w:val="004F7E5B"/>
    <w:rsid w:val="00501176"/>
    <w:rsid w:val="00503702"/>
    <w:rsid w:val="00504BC8"/>
    <w:rsid w:val="00505FC1"/>
    <w:rsid w:val="00506557"/>
    <w:rsid w:val="0050677A"/>
    <w:rsid w:val="00506954"/>
    <w:rsid w:val="005075B4"/>
    <w:rsid w:val="00507C4C"/>
    <w:rsid w:val="00510044"/>
    <w:rsid w:val="005108D8"/>
    <w:rsid w:val="005116F9"/>
    <w:rsid w:val="00512081"/>
    <w:rsid w:val="0051300F"/>
    <w:rsid w:val="005153A7"/>
    <w:rsid w:val="005159F5"/>
    <w:rsid w:val="00515A88"/>
    <w:rsid w:val="00516CD1"/>
    <w:rsid w:val="005173BF"/>
    <w:rsid w:val="005177BC"/>
    <w:rsid w:val="0052034C"/>
    <w:rsid w:val="005219CF"/>
    <w:rsid w:val="00521C53"/>
    <w:rsid w:val="00526A55"/>
    <w:rsid w:val="00530E53"/>
    <w:rsid w:val="00533940"/>
    <w:rsid w:val="0053402D"/>
    <w:rsid w:val="005345D5"/>
    <w:rsid w:val="00534B59"/>
    <w:rsid w:val="005351A9"/>
    <w:rsid w:val="00536759"/>
    <w:rsid w:val="00537AAF"/>
    <w:rsid w:val="00537C62"/>
    <w:rsid w:val="00540AEE"/>
    <w:rsid w:val="00543038"/>
    <w:rsid w:val="00543378"/>
    <w:rsid w:val="00544E17"/>
    <w:rsid w:val="005450FF"/>
    <w:rsid w:val="00546778"/>
    <w:rsid w:val="00546970"/>
    <w:rsid w:val="005477E9"/>
    <w:rsid w:val="00547A98"/>
    <w:rsid w:val="00547B73"/>
    <w:rsid w:val="00551499"/>
    <w:rsid w:val="005525E2"/>
    <w:rsid w:val="00554E19"/>
    <w:rsid w:val="00555F06"/>
    <w:rsid w:val="00556504"/>
    <w:rsid w:val="0056104B"/>
    <w:rsid w:val="00561052"/>
    <w:rsid w:val="0056121F"/>
    <w:rsid w:val="00562A4D"/>
    <w:rsid w:val="00563B47"/>
    <w:rsid w:val="00564D17"/>
    <w:rsid w:val="0056638C"/>
    <w:rsid w:val="005701F9"/>
    <w:rsid w:val="0057098C"/>
    <w:rsid w:val="00571E06"/>
    <w:rsid w:val="00572505"/>
    <w:rsid w:val="00572602"/>
    <w:rsid w:val="0057296F"/>
    <w:rsid w:val="00573DCD"/>
    <w:rsid w:val="00575F87"/>
    <w:rsid w:val="00577CC6"/>
    <w:rsid w:val="0058032F"/>
    <w:rsid w:val="00580B63"/>
    <w:rsid w:val="00582364"/>
    <w:rsid w:val="00582809"/>
    <w:rsid w:val="00582B66"/>
    <w:rsid w:val="00583F48"/>
    <w:rsid w:val="00586CFE"/>
    <w:rsid w:val="0058798C"/>
    <w:rsid w:val="005900FA"/>
    <w:rsid w:val="00592DCB"/>
    <w:rsid w:val="00593534"/>
    <w:rsid w:val="005935A4"/>
    <w:rsid w:val="005948C2"/>
    <w:rsid w:val="0059494D"/>
    <w:rsid w:val="00594DF9"/>
    <w:rsid w:val="00595DCA"/>
    <w:rsid w:val="00595E08"/>
    <w:rsid w:val="0059779B"/>
    <w:rsid w:val="005A0BAB"/>
    <w:rsid w:val="005A209A"/>
    <w:rsid w:val="005A36A4"/>
    <w:rsid w:val="005A6104"/>
    <w:rsid w:val="005A662D"/>
    <w:rsid w:val="005A689D"/>
    <w:rsid w:val="005A7ACE"/>
    <w:rsid w:val="005B1409"/>
    <w:rsid w:val="005B2D17"/>
    <w:rsid w:val="005B3258"/>
    <w:rsid w:val="005B35D7"/>
    <w:rsid w:val="005B392A"/>
    <w:rsid w:val="005B3AA3"/>
    <w:rsid w:val="005B4C93"/>
    <w:rsid w:val="005B6F83"/>
    <w:rsid w:val="005B72D8"/>
    <w:rsid w:val="005B7F10"/>
    <w:rsid w:val="005C33DA"/>
    <w:rsid w:val="005C74FB"/>
    <w:rsid w:val="005D1602"/>
    <w:rsid w:val="005D2E65"/>
    <w:rsid w:val="005D46E2"/>
    <w:rsid w:val="005D5247"/>
    <w:rsid w:val="005D65AA"/>
    <w:rsid w:val="005D68E8"/>
    <w:rsid w:val="005D6C9D"/>
    <w:rsid w:val="005E0E9A"/>
    <w:rsid w:val="005E0EF7"/>
    <w:rsid w:val="005E1174"/>
    <w:rsid w:val="005E198D"/>
    <w:rsid w:val="005E23B7"/>
    <w:rsid w:val="005E385F"/>
    <w:rsid w:val="005E3B4F"/>
    <w:rsid w:val="005E5B81"/>
    <w:rsid w:val="005F0A3C"/>
    <w:rsid w:val="005F1D7A"/>
    <w:rsid w:val="005F2CB1"/>
    <w:rsid w:val="005F2F7F"/>
    <w:rsid w:val="005F3025"/>
    <w:rsid w:val="005F4CB4"/>
    <w:rsid w:val="005F51E5"/>
    <w:rsid w:val="005F618C"/>
    <w:rsid w:val="005F6481"/>
    <w:rsid w:val="005F70BD"/>
    <w:rsid w:val="005F757C"/>
    <w:rsid w:val="00600818"/>
    <w:rsid w:val="00601ACA"/>
    <w:rsid w:val="00602707"/>
    <w:rsid w:val="0060283C"/>
    <w:rsid w:val="00604F14"/>
    <w:rsid w:val="00607AC6"/>
    <w:rsid w:val="00610E76"/>
    <w:rsid w:val="00611B83"/>
    <w:rsid w:val="00613257"/>
    <w:rsid w:val="006148B7"/>
    <w:rsid w:val="00614DBA"/>
    <w:rsid w:val="00615ED7"/>
    <w:rsid w:val="00617A4D"/>
    <w:rsid w:val="006208EF"/>
    <w:rsid w:val="00620A71"/>
    <w:rsid w:val="00620D80"/>
    <w:rsid w:val="00621255"/>
    <w:rsid w:val="006234A6"/>
    <w:rsid w:val="006250DB"/>
    <w:rsid w:val="00625DB3"/>
    <w:rsid w:val="00625E55"/>
    <w:rsid w:val="0062613A"/>
    <w:rsid w:val="00626E8E"/>
    <w:rsid w:val="00627757"/>
    <w:rsid w:val="00627EFF"/>
    <w:rsid w:val="00630001"/>
    <w:rsid w:val="006311B3"/>
    <w:rsid w:val="00631342"/>
    <w:rsid w:val="0063284C"/>
    <w:rsid w:val="00632960"/>
    <w:rsid w:val="00632C7A"/>
    <w:rsid w:val="00632DD3"/>
    <w:rsid w:val="00632F8A"/>
    <w:rsid w:val="00636398"/>
    <w:rsid w:val="006368D3"/>
    <w:rsid w:val="0063702B"/>
    <w:rsid w:val="0063773B"/>
    <w:rsid w:val="006377EC"/>
    <w:rsid w:val="0064151F"/>
    <w:rsid w:val="00641533"/>
    <w:rsid w:val="0064208D"/>
    <w:rsid w:val="00643475"/>
    <w:rsid w:val="0064396A"/>
    <w:rsid w:val="00643A20"/>
    <w:rsid w:val="0064624E"/>
    <w:rsid w:val="006508A3"/>
    <w:rsid w:val="00650AB9"/>
    <w:rsid w:val="00650B9C"/>
    <w:rsid w:val="00650E73"/>
    <w:rsid w:val="006530FE"/>
    <w:rsid w:val="00653728"/>
    <w:rsid w:val="00655733"/>
    <w:rsid w:val="00655ACD"/>
    <w:rsid w:val="00656A63"/>
    <w:rsid w:val="00656A92"/>
    <w:rsid w:val="00656AAA"/>
    <w:rsid w:val="00656DDE"/>
    <w:rsid w:val="006573D9"/>
    <w:rsid w:val="00657760"/>
    <w:rsid w:val="0066011D"/>
    <w:rsid w:val="006605FE"/>
    <w:rsid w:val="006607C0"/>
    <w:rsid w:val="006609DE"/>
    <w:rsid w:val="00661385"/>
    <w:rsid w:val="006613A6"/>
    <w:rsid w:val="006627A2"/>
    <w:rsid w:val="00662936"/>
    <w:rsid w:val="006634E6"/>
    <w:rsid w:val="00663BA8"/>
    <w:rsid w:val="00663CF2"/>
    <w:rsid w:val="00664C04"/>
    <w:rsid w:val="006655EE"/>
    <w:rsid w:val="006655F2"/>
    <w:rsid w:val="00667EE7"/>
    <w:rsid w:val="0067036D"/>
    <w:rsid w:val="00670922"/>
    <w:rsid w:val="00670BE1"/>
    <w:rsid w:val="006713C2"/>
    <w:rsid w:val="00671A2F"/>
    <w:rsid w:val="0067218F"/>
    <w:rsid w:val="00673B02"/>
    <w:rsid w:val="006741F2"/>
    <w:rsid w:val="00674CC3"/>
    <w:rsid w:val="00675C72"/>
    <w:rsid w:val="006771F9"/>
    <w:rsid w:val="006776D7"/>
    <w:rsid w:val="006778E8"/>
    <w:rsid w:val="00681003"/>
    <w:rsid w:val="00681564"/>
    <w:rsid w:val="006817C9"/>
    <w:rsid w:val="00681BAC"/>
    <w:rsid w:val="00683AC6"/>
    <w:rsid w:val="00683ECE"/>
    <w:rsid w:val="006907A7"/>
    <w:rsid w:val="00691760"/>
    <w:rsid w:val="0069224C"/>
    <w:rsid w:val="006927BF"/>
    <w:rsid w:val="006935C9"/>
    <w:rsid w:val="00694A47"/>
    <w:rsid w:val="00695FC2"/>
    <w:rsid w:val="00696199"/>
    <w:rsid w:val="00696324"/>
    <w:rsid w:val="00696949"/>
    <w:rsid w:val="00697052"/>
    <w:rsid w:val="006A2CBC"/>
    <w:rsid w:val="006A404C"/>
    <w:rsid w:val="006A46FB"/>
    <w:rsid w:val="006A57D1"/>
    <w:rsid w:val="006A5E28"/>
    <w:rsid w:val="006A5F0B"/>
    <w:rsid w:val="006A697B"/>
    <w:rsid w:val="006A7AFF"/>
    <w:rsid w:val="006B05F1"/>
    <w:rsid w:val="006B08C3"/>
    <w:rsid w:val="006B0D6A"/>
    <w:rsid w:val="006B1816"/>
    <w:rsid w:val="006B19F5"/>
    <w:rsid w:val="006B2032"/>
    <w:rsid w:val="006B2099"/>
    <w:rsid w:val="006B2560"/>
    <w:rsid w:val="006B50CF"/>
    <w:rsid w:val="006B7D8B"/>
    <w:rsid w:val="006C03B8"/>
    <w:rsid w:val="006C1AE5"/>
    <w:rsid w:val="006C24C7"/>
    <w:rsid w:val="006C30E3"/>
    <w:rsid w:val="006C48A9"/>
    <w:rsid w:val="006C5EC9"/>
    <w:rsid w:val="006C6059"/>
    <w:rsid w:val="006C7522"/>
    <w:rsid w:val="006C7537"/>
    <w:rsid w:val="006C7D46"/>
    <w:rsid w:val="006D0837"/>
    <w:rsid w:val="006D12D0"/>
    <w:rsid w:val="006D275A"/>
    <w:rsid w:val="006D2C33"/>
    <w:rsid w:val="006D2C39"/>
    <w:rsid w:val="006D3CFD"/>
    <w:rsid w:val="006D5E23"/>
    <w:rsid w:val="006D6F08"/>
    <w:rsid w:val="006D7172"/>
    <w:rsid w:val="006E062C"/>
    <w:rsid w:val="006E1C2D"/>
    <w:rsid w:val="006E1C82"/>
    <w:rsid w:val="006E1EC2"/>
    <w:rsid w:val="006E28B7"/>
    <w:rsid w:val="006E2A9B"/>
    <w:rsid w:val="006E2DE3"/>
    <w:rsid w:val="006E3310"/>
    <w:rsid w:val="006E3D16"/>
    <w:rsid w:val="006E3F19"/>
    <w:rsid w:val="006E4E39"/>
    <w:rsid w:val="006E559A"/>
    <w:rsid w:val="006E565E"/>
    <w:rsid w:val="006E5A98"/>
    <w:rsid w:val="006E6106"/>
    <w:rsid w:val="006E673D"/>
    <w:rsid w:val="006E6EDC"/>
    <w:rsid w:val="006E7B91"/>
    <w:rsid w:val="006E7D3B"/>
    <w:rsid w:val="006E7EDE"/>
    <w:rsid w:val="006E7FBD"/>
    <w:rsid w:val="006F1B70"/>
    <w:rsid w:val="006F24BE"/>
    <w:rsid w:val="006F28B2"/>
    <w:rsid w:val="006F31AE"/>
    <w:rsid w:val="006F341D"/>
    <w:rsid w:val="006F3CDE"/>
    <w:rsid w:val="006F58D4"/>
    <w:rsid w:val="006F6433"/>
    <w:rsid w:val="006F6582"/>
    <w:rsid w:val="00701620"/>
    <w:rsid w:val="0070236A"/>
    <w:rsid w:val="0070346E"/>
    <w:rsid w:val="00703CAB"/>
    <w:rsid w:val="00704524"/>
    <w:rsid w:val="00704883"/>
    <w:rsid w:val="00704EDB"/>
    <w:rsid w:val="00706101"/>
    <w:rsid w:val="00707072"/>
    <w:rsid w:val="007071AD"/>
    <w:rsid w:val="007077F9"/>
    <w:rsid w:val="00707D61"/>
    <w:rsid w:val="00711DE3"/>
    <w:rsid w:val="00712287"/>
    <w:rsid w:val="00712772"/>
    <w:rsid w:val="007127C8"/>
    <w:rsid w:val="0071354E"/>
    <w:rsid w:val="007148D3"/>
    <w:rsid w:val="00714976"/>
    <w:rsid w:val="00714ADA"/>
    <w:rsid w:val="00715B9A"/>
    <w:rsid w:val="007170F6"/>
    <w:rsid w:val="00723312"/>
    <w:rsid w:val="007257D0"/>
    <w:rsid w:val="00726EA6"/>
    <w:rsid w:val="00727208"/>
    <w:rsid w:val="007273CF"/>
    <w:rsid w:val="00727680"/>
    <w:rsid w:val="00731F28"/>
    <w:rsid w:val="00732F87"/>
    <w:rsid w:val="007336DE"/>
    <w:rsid w:val="00733827"/>
    <w:rsid w:val="00733DD4"/>
    <w:rsid w:val="007344A6"/>
    <w:rsid w:val="007346B3"/>
    <w:rsid w:val="007348B1"/>
    <w:rsid w:val="007349D3"/>
    <w:rsid w:val="007362A6"/>
    <w:rsid w:val="00736D7D"/>
    <w:rsid w:val="00740E58"/>
    <w:rsid w:val="007412BC"/>
    <w:rsid w:val="007423E3"/>
    <w:rsid w:val="007445A0"/>
    <w:rsid w:val="0074524B"/>
    <w:rsid w:val="007461AA"/>
    <w:rsid w:val="00747D8B"/>
    <w:rsid w:val="00750AB5"/>
    <w:rsid w:val="00751228"/>
    <w:rsid w:val="00752E5F"/>
    <w:rsid w:val="007544FE"/>
    <w:rsid w:val="00755DB3"/>
    <w:rsid w:val="007571E1"/>
    <w:rsid w:val="007575A0"/>
    <w:rsid w:val="00757A16"/>
    <w:rsid w:val="007604B2"/>
    <w:rsid w:val="00760732"/>
    <w:rsid w:val="00760879"/>
    <w:rsid w:val="00761E7B"/>
    <w:rsid w:val="007647A0"/>
    <w:rsid w:val="00765281"/>
    <w:rsid w:val="007656A2"/>
    <w:rsid w:val="00766BAD"/>
    <w:rsid w:val="00767A36"/>
    <w:rsid w:val="00770FED"/>
    <w:rsid w:val="007729A2"/>
    <w:rsid w:val="00774BFD"/>
    <w:rsid w:val="007752CC"/>
    <w:rsid w:val="007755F2"/>
    <w:rsid w:val="00776971"/>
    <w:rsid w:val="00780A80"/>
    <w:rsid w:val="00780BDD"/>
    <w:rsid w:val="0078177E"/>
    <w:rsid w:val="0078304C"/>
    <w:rsid w:val="00783673"/>
    <w:rsid w:val="00784213"/>
    <w:rsid w:val="00785490"/>
    <w:rsid w:val="007865CC"/>
    <w:rsid w:val="00791415"/>
    <w:rsid w:val="0079236E"/>
    <w:rsid w:val="00792450"/>
    <w:rsid w:val="007925EA"/>
    <w:rsid w:val="00793CD8"/>
    <w:rsid w:val="00793DED"/>
    <w:rsid w:val="007942E6"/>
    <w:rsid w:val="00795C92"/>
    <w:rsid w:val="00796231"/>
    <w:rsid w:val="00796C53"/>
    <w:rsid w:val="007979F0"/>
    <w:rsid w:val="007A1AD6"/>
    <w:rsid w:val="007A1BF8"/>
    <w:rsid w:val="007A1CB3"/>
    <w:rsid w:val="007A24A5"/>
    <w:rsid w:val="007A306F"/>
    <w:rsid w:val="007A43A6"/>
    <w:rsid w:val="007A4451"/>
    <w:rsid w:val="007A4DE8"/>
    <w:rsid w:val="007A58A6"/>
    <w:rsid w:val="007A5F0A"/>
    <w:rsid w:val="007A6762"/>
    <w:rsid w:val="007A68F0"/>
    <w:rsid w:val="007A74D5"/>
    <w:rsid w:val="007B2A33"/>
    <w:rsid w:val="007B3222"/>
    <w:rsid w:val="007B3D2D"/>
    <w:rsid w:val="007B41E8"/>
    <w:rsid w:val="007B439E"/>
    <w:rsid w:val="007B50AE"/>
    <w:rsid w:val="007B51DF"/>
    <w:rsid w:val="007C05DD"/>
    <w:rsid w:val="007C1A7B"/>
    <w:rsid w:val="007C2C83"/>
    <w:rsid w:val="007C2E65"/>
    <w:rsid w:val="007C3D18"/>
    <w:rsid w:val="007C54ED"/>
    <w:rsid w:val="007C60BF"/>
    <w:rsid w:val="007C6A07"/>
    <w:rsid w:val="007C7212"/>
    <w:rsid w:val="007C75A1"/>
    <w:rsid w:val="007C77A5"/>
    <w:rsid w:val="007D04E5"/>
    <w:rsid w:val="007D3BBD"/>
    <w:rsid w:val="007D3D8F"/>
    <w:rsid w:val="007D4777"/>
    <w:rsid w:val="007D5698"/>
    <w:rsid w:val="007D5901"/>
    <w:rsid w:val="007D6517"/>
    <w:rsid w:val="007D6A38"/>
    <w:rsid w:val="007D7526"/>
    <w:rsid w:val="007E06C7"/>
    <w:rsid w:val="007E27D9"/>
    <w:rsid w:val="007E358C"/>
    <w:rsid w:val="007E4610"/>
    <w:rsid w:val="007E4715"/>
    <w:rsid w:val="007E505B"/>
    <w:rsid w:val="007E51A6"/>
    <w:rsid w:val="007E6AC3"/>
    <w:rsid w:val="007E7091"/>
    <w:rsid w:val="007F096D"/>
    <w:rsid w:val="007F159A"/>
    <w:rsid w:val="007F1D90"/>
    <w:rsid w:val="007F1E72"/>
    <w:rsid w:val="007F415C"/>
    <w:rsid w:val="007F4450"/>
    <w:rsid w:val="007F4723"/>
    <w:rsid w:val="007F6AB2"/>
    <w:rsid w:val="007F7414"/>
    <w:rsid w:val="008008D0"/>
    <w:rsid w:val="008017BA"/>
    <w:rsid w:val="0080245B"/>
    <w:rsid w:val="008025A1"/>
    <w:rsid w:val="00802FCE"/>
    <w:rsid w:val="008030FC"/>
    <w:rsid w:val="00803FAE"/>
    <w:rsid w:val="00804876"/>
    <w:rsid w:val="00804BF0"/>
    <w:rsid w:val="00805637"/>
    <w:rsid w:val="0080605F"/>
    <w:rsid w:val="00807786"/>
    <w:rsid w:val="008118CD"/>
    <w:rsid w:val="00811FCB"/>
    <w:rsid w:val="00812A20"/>
    <w:rsid w:val="008146A5"/>
    <w:rsid w:val="00814C71"/>
    <w:rsid w:val="008158D6"/>
    <w:rsid w:val="00817196"/>
    <w:rsid w:val="008222DE"/>
    <w:rsid w:val="00822A4B"/>
    <w:rsid w:val="008235DB"/>
    <w:rsid w:val="008241B3"/>
    <w:rsid w:val="00824AB4"/>
    <w:rsid w:val="00824CA1"/>
    <w:rsid w:val="0082576E"/>
    <w:rsid w:val="00825C12"/>
    <w:rsid w:val="00825C42"/>
    <w:rsid w:val="00825D25"/>
    <w:rsid w:val="00826F52"/>
    <w:rsid w:val="00827D6F"/>
    <w:rsid w:val="0083294D"/>
    <w:rsid w:val="00835F9F"/>
    <w:rsid w:val="008376AC"/>
    <w:rsid w:val="00837919"/>
    <w:rsid w:val="00837A04"/>
    <w:rsid w:val="008433DD"/>
    <w:rsid w:val="008444E8"/>
    <w:rsid w:val="00844E80"/>
    <w:rsid w:val="00846FE7"/>
    <w:rsid w:val="00852BEC"/>
    <w:rsid w:val="0085382D"/>
    <w:rsid w:val="00853883"/>
    <w:rsid w:val="00854AB9"/>
    <w:rsid w:val="00854B89"/>
    <w:rsid w:val="00855D4E"/>
    <w:rsid w:val="00856911"/>
    <w:rsid w:val="00856C91"/>
    <w:rsid w:val="0085730F"/>
    <w:rsid w:val="00857EE1"/>
    <w:rsid w:val="00861503"/>
    <w:rsid w:val="00861994"/>
    <w:rsid w:val="00863EF7"/>
    <w:rsid w:val="00865676"/>
    <w:rsid w:val="00867787"/>
    <w:rsid w:val="008677FD"/>
    <w:rsid w:val="008706D4"/>
    <w:rsid w:val="00870F8A"/>
    <w:rsid w:val="008719A4"/>
    <w:rsid w:val="00871D23"/>
    <w:rsid w:val="00872FC7"/>
    <w:rsid w:val="0087406D"/>
    <w:rsid w:val="00874312"/>
    <w:rsid w:val="0087437C"/>
    <w:rsid w:val="00874A2C"/>
    <w:rsid w:val="00875B50"/>
    <w:rsid w:val="00875CD7"/>
    <w:rsid w:val="008769E3"/>
    <w:rsid w:val="00876B4D"/>
    <w:rsid w:val="00877F18"/>
    <w:rsid w:val="00880168"/>
    <w:rsid w:val="0088161F"/>
    <w:rsid w:val="00882AA3"/>
    <w:rsid w:val="00882E74"/>
    <w:rsid w:val="008853FB"/>
    <w:rsid w:val="00885408"/>
    <w:rsid w:val="00885F1E"/>
    <w:rsid w:val="00887F5B"/>
    <w:rsid w:val="008909AF"/>
    <w:rsid w:val="00890D51"/>
    <w:rsid w:val="008925DB"/>
    <w:rsid w:val="008941E3"/>
    <w:rsid w:val="00894A88"/>
    <w:rsid w:val="00895386"/>
    <w:rsid w:val="00896808"/>
    <w:rsid w:val="008969F4"/>
    <w:rsid w:val="008971F8"/>
    <w:rsid w:val="008A1486"/>
    <w:rsid w:val="008A21FF"/>
    <w:rsid w:val="008A2CE2"/>
    <w:rsid w:val="008A30AC"/>
    <w:rsid w:val="008A343C"/>
    <w:rsid w:val="008A3BE2"/>
    <w:rsid w:val="008A44B8"/>
    <w:rsid w:val="008A51A8"/>
    <w:rsid w:val="008A54C7"/>
    <w:rsid w:val="008A68B5"/>
    <w:rsid w:val="008A6FA6"/>
    <w:rsid w:val="008A77D8"/>
    <w:rsid w:val="008B0483"/>
    <w:rsid w:val="008B0D92"/>
    <w:rsid w:val="008B120C"/>
    <w:rsid w:val="008B3FC5"/>
    <w:rsid w:val="008B51A0"/>
    <w:rsid w:val="008B592A"/>
    <w:rsid w:val="008B6A98"/>
    <w:rsid w:val="008B7166"/>
    <w:rsid w:val="008B71D1"/>
    <w:rsid w:val="008B7B5C"/>
    <w:rsid w:val="008C0C99"/>
    <w:rsid w:val="008C12D0"/>
    <w:rsid w:val="008C18BB"/>
    <w:rsid w:val="008C1F75"/>
    <w:rsid w:val="008C2017"/>
    <w:rsid w:val="008C39E0"/>
    <w:rsid w:val="008C4490"/>
    <w:rsid w:val="008C4958"/>
    <w:rsid w:val="008C4999"/>
    <w:rsid w:val="008C4BAA"/>
    <w:rsid w:val="008C5034"/>
    <w:rsid w:val="008C6AE8"/>
    <w:rsid w:val="008C7573"/>
    <w:rsid w:val="008C780A"/>
    <w:rsid w:val="008D00A5"/>
    <w:rsid w:val="008D1242"/>
    <w:rsid w:val="008D34F1"/>
    <w:rsid w:val="008D34F2"/>
    <w:rsid w:val="008D39D8"/>
    <w:rsid w:val="008D4042"/>
    <w:rsid w:val="008D55FA"/>
    <w:rsid w:val="008D6319"/>
    <w:rsid w:val="008D6D1A"/>
    <w:rsid w:val="008D7D0A"/>
    <w:rsid w:val="008E065E"/>
    <w:rsid w:val="008E073D"/>
    <w:rsid w:val="008E0927"/>
    <w:rsid w:val="008E0C12"/>
    <w:rsid w:val="008E1146"/>
    <w:rsid w:val="008E1909"/>
    <w:rsid w:val="008E5A13"/>
    <w:rsid w:val="008E6E99"/>
    <w:rsid w:val="008E7A01"/>
    <w:rsid w:val="008F19CC"/>
    <w:rsid w:val="008F1C02"/>
    <w:rsid w:val="008F1EAB"/>
    <w:rsid w:val="008F2B38"/>
    <w:rsid w:val="008F2B9A"/>
    <w:rsid w:val="008F2CEB"/>
    <w:rsid w:val="008F33DC"/>
    <w:rsid w:val="008F4212"/>
    <w:rsid w:val="008F477F"/>
    <w:rsid w:val="008F5736"/>
    <w:rsid w:val="008F67F5"/>
    <w:rsid w:val="008F6CFF"/>
    <w:rsid w:val="00900603"/>
    <w:rsid w:val="00900E03"/>
    <w:rsid w:val="00902350"/>
    <w:rsid w:val="0090279F"/>
    <w:rsid w:val="0090336B"/>
    <w:rsid w:val="00903982"/>
    <w:rsid w:val="00904736"/>
    <w:rsid w:val="00904952"/>
    <w:rsid w:val="009053AA"/>
    <w:rsid w:val="00905AEA"/>
    <w:rsid w:val="00906939"/>
    <w:rsid w:val="00910B7D"/>
    <w:rsid w:val="00911DFB"/>
    <w:rsid w:val="00913195"/>
    <w:rsid w:val="009139D9"/>
    <w:rsid w:val="00914AD8"/>
    <w:rsid w:val="00916079"/>
    <w:rsid w:val="00917CE9"/>
    <w:rsid w:val="00920BF2"/>
    <w:rsid w:val="00920CB6"/>
    <w:rsid w:val="009217F8"/>
    <w:rsid w:val="00922010"/>
    <w:rsid w:val="009227A9"/>
    <w:rsid w:val="00922A2A"/>
    <w:rsid w:val="00922C88"/>
    <w:rsid w:val="00924149"/>
    <w:rsid w:val="00925C28"/>
    <w:rsid w:val="009303D5"/>
    <w:rsid w:val="009306EB"/>
    <w:rsid w:val="00930B5A"/>
    <w:rsid w:val="00931BD9"/>
    <w:rsid w:val="009325AD"/>
    <w:rsid w:val="009332AB"/>
    <w:rsid w:val="009363C9"/>
    <w:rsid w:val="009368F3"/>
    <w:rsid w:val="00937365"/>
    <w:rsid w:val="00940133"/>
    <w:rsid w:val="00940F40"/>
    <w:rsid w:val="009410B9"/>
    <w:rsid w:val="00941636"/>
    <w:rsid w:val="0094180D"/>
    <w:rsid w:val="0094321B"/>
    <w:rsid w:val="00943742"/>
    <w:rsid w:val="00945C05"/>
    <w:rsid w:val="00946945"/>
    <w:rsid w:val="00947713"/>
    <w:rsid w:val="00950044"/>
    <w:rsid w:val="00950DE7"/>
    <w:rsid w:val="00951FC2"/>
    <w:rsid w:val="0095279C"/>
    <w:rsid w:val="0095315E"/>
    <w:rsid w:val="00953920"/>
    <w:rsid w:val="00953D47"/>
    <w:rsid w:val="00954AE7"/>
    <w:rsid w:val="00955252"/>
    <w:rsid w:val="0095681E"/>
    <w:rsid w:val="009572D4"/>
    <w:rsid w:val="00957B8C"/>
    <w:rsid w:val="0096110F"/>
    <w:rsid w:val="00961921"/>
    <w:rsid w:val="00961A06"/>
    <w:rsid w:val="009621D9"/>
    <w:rsid w:val="0096430A"/>
    <w:rsid w:val="0096554B"/>
    <w:rsid w:val="0096584A"/>
    <w:rsid w:val="00966690"/>
    <w:rsid w:val="00966E3D"/>
    <w:rsid w:val="009675E1"/>
    <w:rsid w:val="00967C30"/>
    <w:rsid w:val="00971315"/>
    <w:rsid w:val="00971F08"/>
    <w:rsid w:val="00973898"/>
    <w:rsid w:val="00975569"/>
    <w:rsid w:val="009756BF"/>
    <w:rsid w:val="0097603D"/>
    <w:rsid w:val="00976949"/>
    <w:rsid w:val="00976C81"/>
    <w:rsid w:val="00977651"/>
    <w:rsid w:val="00980477"/>
    <w:rsid w:val="009818BB"/>
    <w:rsid w:val="00983420"/>
    <w:rsid w:val="00983BA9"/>
    <w:rsid w:val="009847A0"/>
    <w:rsid w:val="009849E4"/>
    <w:rsid w:val="00985253"/>
    <w:rsid w:val="009853B3"/>
    <w:rsid w:val="00986678"/>
    <w:rsid w:val="009867C7"/>
    <w:rsid w:val="00986D01"/>
    <w:rsid w:val="0098775B"/>
    <w:rsid w:val="00987A23"/>
    <w:rsid w:val="00990630"/>
    <w:rsid w:val="0099117B"/>
    <w:rsid w:val="00991761"/>
    <w:rsid w:val="00993AB3"/>
    <w:rsid w:val="00994DCA"/>
    <w:rsid w:val="00995079"/>
    <w:rsid w:val="0099590C"/>
    <w:rsid w:val="00995A62"/>
    <w:rsid w:val="009960EC"/>
    <w:rsid w:val="00996ACC"/>
    <w:rsid w:val="009970DD"/>
    <w:rsid w:val="009977FE"/>
    <w:rsid w:val="00997C5D"/>
    <w:rsid w:val="009A0FBA"/>
    <w:rsid w:val="009A1601"/>
    <w:rsid w:val="009A27E1"/>
    <w:rsid w:val="009A3B4E"/>
    <w:rsid w:val="009A3BB6"/>
    <w:rsid w:val="009A462D"/>
    <w:rsid w:val="009A5CBA"/>
    <w:rsid w:val="009A7DD7"/>
    <w:rsid w:val="009B1F30"/>
    <w:rsid w:val="009B3596"/>
    <w:rsid w:val="009B3AC2"/>
    <w:rsid w:val="009B44D8"/>
    <w:rsid w:val="009B4DF4"/>
    <w:rsid w:val="009B555F"/>
    <w:rsid w:val="009B564E"/>
    <w:rsid w:val="009B5BE3"/>
    <w:rsid w:val="009B6CAD"/>
    <w:rsid w:val="009B7E87"/>
    <w:rsid w:val="009C0169"/>
    <w:rsid w:val="009C0775"/>
    <w:rsid w:val="009C09CF"/>
    <w:rsid w:val="009C0DD7"/>
    <w:rsid w:val="009C0F39"/>
    <w:rsid w:val="009C149D"/>
    <w:rsid w:val="009C166E"/>
    <w:rsid w:val="009C175E"/>
    <w:rsid w:val="009C26A4"/>
    <w:rsid w:val="009C3253"/>
    <w:rsid w:val="009C3355"/>
    <w:rsid w:val="009C403E"/>
    <w:rsid w:val="009D3544"/>
    <w:rsid w:val="009D4FB4"/>
    <w:rsid w:val="009D4FF0"/>
    <w:rsid w:val="009D703C"/>
    <w:rsid w:val="009D718F"/>
    <w:rsid w:val="009D73D1"/>
    <w:rsid w:val="009E068F"/>
    <w:rsid w:val="009E14E0"/>
    <w:rsid w:val="009E173D"/>
    <w:rsid w:val="009E1F82"/>
    <w:rsid w:val="009E20A6"/>
    <w:rsid w:val="009E28F9"/>
    <w:rsid w:val="009E2F4C"/>
    <w:rsid w:val="009E35DB"/>
    <w:rsid w:val="009E47A3"/>
    <w:rsid w:val="009E54AF"/>
    <w:rsid w:val="009E60A9"/>
    <w:rsid w:val="009F08F3"/>
    <w:rsid w:val="009F0BB6"/>
    <w:rsid w:val="009F2658"/>
    <w:rsid w:val="009F27C5"/>
    <w:rsid w:val="009F2AAA"/>
    <w:rsid w:val="009F2D23"/>
    <w:rsid w:val="009F344F"/>
    <w:rsid w:val="009F5772"/>
    <w:rsid w:val="009F62E1"/>
    <w:rsid w:val="009F6580"/>
    <w:rsid w:val="009F7D6E"/>
    <w:rsid w:val="00A031D8"/>
    <w:rsid w:val="00A04366"/>
    <w:rsid w:val="00A048A8"/>
    <w:rsid w:val="00A04F49"/>
    <w:rsid w:val="00A067B5"/>
    <w:rsid w:val="00A06E80"/>
    <w:rsid w:val="00A10EB1"/>
    <w:rsid w:val="00A11234"/>
    <w:rsid w:val="00A1303B"/>
    <w:rsid w:val="00A139E7"/>
    <w:rsid w:val="00A13E54"/>
    <w:rsid w:val="00A13ECD"/>
    <w:rsid w:val="00A16466"/>
    <w:rsid w:val="00A17964"/>
    <w:rsid w:val="00A17F63"/>
    <w:rsid w:val="00A20DE2"/>
    <w:rsid w:val="00A2193B"/>
    <w:rsid w:val="00A2351A"/>
    <w:rsid w:val="00A25186"/>
    <w:rsid w:val="00A25C5B"/>
    <w:rsid w:val="00A26118"/>
    <w:rsid w:val="00A261D8"/>
    <w:rsid w:val="00A262C7"/>
    <w:rsid w:val="00A264A9"/>
    <w:rsid w:val="00A26DCF"/>
    <w:rsid w:val="00A2740E"/>
    <w:rsid w:val="00A27785"/>
    <w:rsid w:val="00A30187"/>
    <w:rsid w:val="00A30390"/>
    <w:rsid w:val="00A30CC5"/>
    <w:rsid w:val="00A31D7A"/>
    <w:rsid w:val="00A320C8"/>
    <w:rsid w:val="00A32FF1"/>
    <w:rsid w:val="00A337B5"/>
    <w:rsid w:val="00A34049"/>
    <w:rsid w:val="00A3408D"/>
    <w:rsid w:val="00A3448A"/>
    <w:rsid w:val="00A34666"/>
    <w:rsid w:val="00A3484B"/>
    <w:rsid w:val="00A35570"/>
    <w:rsid w:val="00A36297"/>
    <w:rsid w:val="00A37714"/>
    <w:rsid w:val="00A37DAA"/>
    <w:rsid w:val="00A4155B"/>
    <w:rsid w:val="00A41A7B"/>
    <w:rsid w:val="00A41DAC"/>
    <w:rsid w:val="00A41E2B"/>
    <w:rsid w:val="00A43CA4"/>
    <w:rsid w:val="00A4484F"/>
    <w:rsid w:val="00A45B74"/>
    <w:rsid w:val="00A50372"/>
    <w:rsid w:val="00A5296B"/>
    <w:rsid w:val="00A52E1D"/>
    <w:rsid w:val="00A53883"/>
    <w:rsid w:val="00A57BAA"/>
    <w:rsid w:val="00A61499"/>
    <w:rsid w:val="00A616BF"/>
    <w:rsid w:val="00A627D3"/>
    <w:rsid w:val="00A62A77"/>
    <w:rsid w:val="00A63483"/>
    <w:rsid w:val="00A63F61"/>
    <w:rsid w:val="00A64088"/>
    <w:rsid w:val="00A64345"/>
    <w:rsid w:val="00A649EF"/>
    <w:rsid w:val="00A65506"/>
    <w:rsid w:val="00A656A5"/>
    <w:rsid w:val="00A657D7"/>
    <w:rsid w:val="00A660AC"/>
    <w:rsid w:val="00A66965"/>
    <w:rsid w:val="00A6728E"/>
    <w:rsid w:val="00A67E6C"/>
    <w:rsid w:val="00A67FA1"/>
    <w:rsid w:val="00A71B99"/>
    <w:rsid w:val="00A739D0"/>
    <w:rsid w:val="00A73D1A"/>
    <w:rsid w:val="00A73D3C"/>
    <w:rsid w:val="00A74A10"/>
    <w:rsid w:val="00A7599C"/>
    <w:rsid w:val="00A75A0E"/>
    <w:rsid w:val="00A761D4"/>
    <w:rsid w:val="00A77376"/>
    <w:rsid w:val="00A77D98"/>
    <w:rsid w:val="00A77EC4"/>
    <w:rsid w:val="00A81B66"/>
    <w:rsid w:val="00A82363"/>
    <w:rsid w:val="00A83BEC"/>
    <w:rsid w:val="00A91C4A"/>
    <w:rsid w:val="00A92879"/>
    <w:rsid w:val="00A93A50"/>
    <w:rsid w:val="00A9442A"/>
    <w:rsid w:val="00A97E34"/>
    <w:rsid w:val="00A97E88"/>
    <w:rsid w:val="00AA016F"/>
    <w:rsid w:val="00AA0F6C"/>
    <w:rsid w:val="00AA1ED6"/>
    <w:rsid w:val="00AA2A74"/>
    <w:rsid w:val="00AA44D0"/>
    <w:rsid w:val="00AA51D6"/>
    <w:rsid w:val="00AA7D90"/>
    <w:rsid w:val="00AB0727"/>
    <w:rsid w:val="00AB0BC8"/>
    <w:rsid w:val="00AB11CA"/>
    <w:rsid w:val="00AB14D9"/>
    <w:rsid w:val="00AB3B9B"/>
    <w:rsid w:val="00AB4AB8"/>
    <w:rsid w:val="00AB4EC0"/>
    <w:rsid w:val="00AB5981"/>
    <w:rsid w:val="00AB655E"/>
    <w:rsid w:val="00AC007F"/>
    <w:rsid w:val="00AC093B"/>
    <w:rsid w:val="00AC12A8"/>
    <w:rsid w:val="00AC2A75"/>
    <w:rsid w:val="00AC2ECD"/>
    <w:rsid w:val="00AC30D6"/>
    <w:rsid w:val="00AC3119"/>
    <w:rsid w:val="00AC391A"/>
    <w:rsid w:val="00AC45B8"/>
    <w:rsid w:val="00AC49FB"/>
    <w:rsid w:val="00AC4FA7"/>
    <w:rsid w:val="00AC5198"/>
    <w:rsid w:val="00AC5A10"/>
    <w:rsid w:val="00AC649E"/>
    <w:rsid w:val="00AC79B2"/>
    <w:rsid w:val="00AC7D69"/>
    <w:rsid w:val="00AD0AA3"/>
    <w:rsid w:val="00AD1BF7"/>
    <w:rsid w:val="00AD22AD"/>
    <w:rsid w:val="00AD2E05"/>
    <w:rsid w:val="00AD2E50"/>
    <w:rsid w:val="00AD3AA4"/>
    <w:rsid w:val="00AD3F94"/>
    <w:rsid w:val="00AD4981"/>
    <w:rsid w:val="00AD4A5A"/>
    <w:rsid w:val="00AD5662"/>
    <w:rsid w:val="00AD5A77"/>
    <w:rsid w:val="00AD5EFE"/>
    <w:rsid w:val="00AD5F95"/>
    <w:rsid w:val="00AD7079"/>
    <w:rsid w:val="00AD7EEA"/>
    <w:rsid w:val="00AE18D2"/>
    <w:rsid w:val="00AE2261"/>
    <w:rsid w:val="00AE27AC"/>
    <w:rsid w:val="00AE40E0"/>
    <w:rsid w:val="00AE4759"/>
    <w:rsid w:val="00AE4DBA"/>
    <w:rsid w:val="00AE4F07"/>
    <w:rsid w:val="00AE53DB"/>
    <w:rsid w:val="00AE6986"/>
    <w:rsid w:val="00AE7C43"/>
    <w:rsid w:val="00AF05C4"/>
    <w:rsid w:val="00AF189B"/>
    <w:rsid w:val="00AF1C5D"/>
    <w:rsid w:val="00AF2427"/>
    <w:rsid w:val="00AF27D1"/>
    <w:rsid w:val="00AF42D7"/>
    <w:rsid w:val="00AF5AA6"/>
    <w:rsid w:val="00AF764B"/>
    <w:rsid w:val="00AF7F61"/>
    <w:rsid w:val="00B006FE"/>
    <w:rsid w:val="00B007CB"/>
    <w:rsid w:val="00B00DC9"/>
    <w:rsid w:val="00B0113E"/>
    <w:rsid w:val="00B02AA9"/>
    <w:rsid w:val="00B02FA3"/>
    <w:rsid w:val="00B03130"/>
    <w:rsid w:val="00B043C9"/>
    <w:rsid w:val="00B05084"/>
    <w:rsid w:val="00B05FAD"/>
    <w:rsid w:val="00B07984"/>
    <w:rsid w:val="00B07AE5"/>
    <w:rsid w:val="00B07E5C"/>
    <w:rsid w:val="00B12A0F"/>
    <w:rsid w:val="00B14334"/>
    <w:rsid w:val="00B157F9"/>
    <w:rsid w:val="00B20256"/>
    <w:rsid w:val="00B20D09"/>
    <w:rsid w:val="00B231A2"/>
    <w:rsid w:val="00B23FE0"/>
    <w:rsid w:val="00B2492D"/>
    <w:rsid w:val="00B2763F"/>
    <w:rsid w:val="00B27AAC"/>
    <w:rsid w:val="00B27F5C"/>
    <w:rsid w:val="00B30929"/>
    <w:rsid w:val="00B30A8E"/>
    <w:rsid w:val="00B321D2"/>
    <w:rsid w:val="00B36395"/>
    <w:rsid w:val="00B372AA"/>
    <w:rsid w:val="00B374A8"/>
    <w:rsid w:val="00B40046"/>
    <w:rsid w:val="00B40445"/>
    <w:rsid w:val="00B409E0"/>
    <w:rsid w:val="00B4166D"/>
    <w:rsid w:val="00B41888"/>
    <w:rsid w:val="00B419EC"/>
    <w:rsid w:val="00B41A3C"/>
    <w:rsid w:val="00B41C12"/>
    <w:rsid w:val="00B42415"/>
    <w:rsid w:val="00B427F3"/>
    <w:rsid w:val="00B44200"/>
    <w:rsid w:val="00B45A52"/>
    <w:rsid w:val="00B46175"/>
    <w:rsid w:val="00B464E6"/>
    <w:rsid w:val="00B4672F"/>
    <w:rsid w:val="00B51F8A"/>
    <w:rsid w:val="00B52548"/>
    <w:rsid w:val="00B53118"/>
    <w:rsid w:val="00B53BC7"/>
    <w:rsid w:val="00B548B7"/>
    <w:rsid w:val="00B55CEF"/>
    <w:rsid w:val="00B55CF1"/>
    <w:rsid w:val="00B55D6D"/>
    <w:rsid w:val="00B561A0"/>
    <w:rsid w:val="00B56441"/>
    <w:rsid w:val="00B56F79"/>
    <w:rsid w:val="00B57BBD"/>
    <w:rsid w:val="00B62B1E"/>
    <w:rsid w:val="00B62CDA"/>
    <w:rsid w:val="00B62E87"/>
    <w:rsid w:val="00B6399C"/>
    <w:rsid w:val="00B63BC7"/>
    <w:rsid w:val="00B65DEB"/>
    <w:rsid w:val="00B65F47"/>
    <w:rsid w:val="00B664C7"/>
    <w:rsid w:val="00B66D52"/>
    <w:rsid w:val="00B70AD8"/>
    <w:rsid w:val="00B71159"/>
    <w:rsid w:val="00B739F6"/>
    <w:rsid w:val="00B77D86"/>
    <w:rsid w:val="00B805CB"/>
    <w:rsid w:val="00B8122D"/>
    <w:rsid w:val="00B815B7"/>
    <w:rsid w:val="00B8160E"/>
    <w:rsid w:val="00B818BA"/>
    <w:rsid w:val="00B81A6C"/>
    <w:rsid w:val="00B822C1"/>
    <w:rsid w:val="00B82331"/>
    <w:rsid w:val="00B831E1"/>
    <w:rsid w:val="00B834ED"/>
    <w:rsid w:val="00B8515D"/>
    <w:rsid w:val="00B85DE5"/>
    <w:rsid w:val="00B86A7B"/>
    <w:rsid w:val="00B87169"/>
    <w:rsid w:val="00B87277"/>
    <w:rsid w:val="00B87EDA"/>
    <w:rsid w:val="00B90C1E"/>
    <w:rsid w:val="00B90F73"/>
    <w:rsid w:val="00B93B59"/>
    <w:rsid w:val="00B9406A"/>
    <w:rsid w:val="00B94A08"/>
    <w:rsid w:val="00B94CF0"/>
    <w:rsid w:val="00B95E27"/>
    <w:rsid w:val="00BA1485"/>
    <w:rsid w:val="00BA2280"/>
    <w:rsid w:val="00BA2A08"/>
    <w:rsid w:val="00BA2BA7"/>
    <w:rsid w:val="00BA2E39"/>
    <w:rsid w:val="00BA56D2"/>
    <w:rsid w:val="00BA5735"/>
    <w:rsid w:val="00BA76E0"/>
    <w:rsid w:val="00BA7A70"/>
    <w:rsid w:val="00BA7AF8"/>
    <w:rsid w:val="00BB05C7"/>
    <w:rsid w:val="00BB2A25"/>
    <w:rsid w:val="00BB3FC4"/>
    <w:rsid w:val="00BB46FE"/>
    <w:rsid w:val="00BB51E9"/>
    <w:rsid w:val="00BB566B"/>
    <w:rsid w:val="00BB5C86"/>
    <w:rsid w:val="00BB7ACD"/>
    <w:rsid w:val="00BC0FDC"/>
    <w:rsid w:val="00BC1A9D"/>
    <w:rsid w:val="00BC2949"/>
    <w:rsid w:val="00BC3053"/>
    <w:rsid w:val="00BC4D2E"/>
    <w:rsid w:val="00BC63DB"/>
    <w:rsid w:val="00BC702D"/>
    <w:rsid w:val="00BC74ED"/>
    <w:rsid w:val="00BC7FE3"/>
    <w:rsid w:val="00BD2AC9"/>
    <w:rsid w:val="00BD325D"/>
    <w:rsid w:val="00BD35FA"/>
    <w:rsid w:val="00BD3816"/>
    <w:rsid w:val="00BD48AC"/>
    <w:rsid w:val="00BD4D95"/>
    <w:rsid w:val="00BD5F1A"/>
    <w:rsid w:val="00BE1131"/>
    <w:rsid w:val="00BE1234"/>
    <w:rsid w:val="00BE17F8"/>
    <w:rsid w:val="00BE1D9C"/>
    <w:rsid w:val="00BE2FA6"/>
    <w:rsid w:val="00BE333F"/>
    <w:rsid w:val="00BE3C30"/>
    <w:rsid w:val="00BE46E0"/>
    <w:rsid w:val="00BE4D2A"/>
    <w:rsid w:val="00BE501C"/>
    <w:rsid w:val="00BE7406"/>
    <w:rsid w:val="00BE7432"/>
    <w:rsid w:val="00BE7603"/>
    <w:rsid w:val="00BF0FB0"/>
    <w:rsid w:val="00BF3279"/>
    <w:rsid w:val="00BF436F"/>
    <w:rsid w:val="00BF63F5"/>
    <w:rsid w:val="00BF74C7"/>
    <w:rsid w:val="00BF7B29"/>
    <w:rsid w:val="00C015F1"/>
    <w:rsid w:val="00C01F33"/>
    <w:rsid w:val="00C02CC6"/>
    <w:rsid w:val="00C040F7"/>
    <w:rsid w:val="00C044AB"/>
    <w:rsid w:val="00C046D7"/>
    <w:rsid w:val="00C05706"/>
    <w:rsid w:val="00C05BB4"/>
    <w:rsid w:val="00C05F7A"/>
    <w:rsid w:val="00C06247"/>
    <w:rsid w:val="00C06E42"/>
    <w:rsid w:val="00C07377"/>
    <w:rsid w:val="00C10478"/>
    <w:rsid w:val="00C10C14"/>
    <w:rsid w:val="00C12107"/>
    <w:rsid w:val="00C1284D"/>
    <w:rsid w:val="00C12C7C"/>
    <w:rsid w:val="00C12D26"/>
    <w:rsid w:val="00C13922"/>
    <w:rsid w:val="00C14D4B"/>
    <w:rsid w:val="00C154BB"/>
    <w:rsid w:val="00C15740"/>
    <w:rsid w:val="00C15F2B"/>
    <w:rsid w:val="00C164E5"/>
    <w:rsid w:val="00C16E9F"/>
    <w:rsid w:val="00C21096"/>
    <w:rsid w:val="00C251F1"/>
    <w:rsid w:val="00C268E6"/>
    <w:rsid w:val="00C26B90"/>
    <w:rsid w:val="00C26CF5"/>
    <w:rsid w:val="00C273DE"/>
    <w:rsid w:val="00C279B5"/>
    <w:rsid w:val="00C27A24"/>
    <w:rsid w:val="00C27C45"/>
    <w:rsid w:val="00C35F86"/>
    <w:rsid w:val="00C3719D"/>
    <w:rsid w:val="00C37CB2"/>
    <w:rsid w:val="00C4206D"/>
    <w:rsid w:val="00C42DB7"/>
    <w:rsid w:val="00C44563"/>
    <w:rsid w:val="00C4669B"/>
    <w:rsid w:val="00C473A5"/>
    <w:rsid w:val="00C50A1C"/>
    <w:rsid w:val="00C51B90"/>
    <w:rsid w:val="00C54995"/>
    <w:rsid w:val="00C54D41"/>
    <w:rsid w:val="00C55AA7"/>
    <w:rsid w:val="00C56E2F"/>
    <w:rsid w:val="00C60783"/>
    <w:rsid w:val="00C62481"/>
    <w:rsid w:val="00C6285D"/>
    <w:rsid w:val="00C64672"/>
    <w:rsid w:val="00C64D7E"/>
    <w:rsid w:val="00C66694"/>
    <w:rsid w:val="00C6701E"/>
    <w:rsid w:val="00C67A82"/>
    <w:rsid w:val="00C70697"/>
    <w:rsid w:val="00C706AA"/>
    <w:rsid w:val="00C72093"/>
    <w:rsid w:val="00C72E08"/>
    <w:rsid w:val="00C72EF4"/>
    <w:rsid w:val="00C730B4"/>
    <w:rsid w:val="00C744FE"/>
    <w:rsid w:val="00C75133"/>
    <w:rsid w:val="00C75195"/>
    <w:rsid w:val="00C7586E"/>
    <w:rsid w:val="00C75D2F"/>
    <w:rsid w:val="00C76613"/>
    <w:rsid w:val="00C767BE"/>
    <w:rsid w:val="00C76E3C"/>
    <w:rsid w:val="00C813E6"/>
    <w:rsid w:val="00C81568"/>
    <w:rsid w:val="00C81BB7"/>
    <w:rsid w:val="00C842D0"/>
    <w:rsid w:val="00C8451F"/>
    <w:rsid w:val="00C84721"/>
    <w:rsid w:val="00C87156"/>
    <w:rsid w:val="00C9027A"/>
    <w:rsid w:val="00C9068E"/>
    <w:rsid w:val="00C90C40"/>
    <w:rsid w:val="00C93814"/>
    <w:rsid w:val="00C93C4B"/>
    <w:rsid w:val="00C93F81"/>
    <w:rsid w:val="00C9420A"/>
    <w:rsid w:val="00C944AB"/>
    <w:rsid w:val="00C95B40"/>
    <w:rsid w:val="00C96B49"/>
    <w:rsid w:val="00C96C80"/>
    <w:rsid w:val="00CA1ED8"/>
    <w:rsid w:val="00CB0DDC"/>
    <w:rsid w:val="00CB16AD"/>
    <w:rsid w:val="00CB1F63"/>
    <w:rsid w:val="00CB30D8"/>
    <w:rsid w:val="00CB38B2"/>
    <w:rsid w:val="00CB7170"/>
    <w:rsid w:val="00CC01B5"/>
    <w:rsid w:val="00CC040E"/>
    <w:rsid w:val="00CC0729"/>
    <w:rsid w:val="00CC0F2A"/>
    <w:rsid w:val="00CC111F"/>
    <w:rsid w:val="00CC1E6F"/>
    <w:rsid w:val="00CC2011"/>
    <w:rsid w:val="00CC3EA0"/>
    <w:rsid w:val="00CC409B"/>
    <w:rsid w:val="00CC4D6E"/>
    <w:rsid w:val="00CC795A"/>
    <w:rsid w:val="00CC7B45"/>
    <w:rsid w:val="00CD092D"/>
    <w:rsid w:val="00CD1188"/>
    <w:rsid w:val="00CD14EB"/>
    <w:rsid w:val="00CD1A93"/>
    <w:rsid w:val="00CD2D8A"/>
    <w:rsid w:val="00CD2ED1"/>
    <w:rsid w:val="00CD337B"/>
    <w:rsid w:val="00CD33DF"/>
    <w:rsid w:val="00CD46A3"/>
    <w:rsid w:val="00CD5912"/>
    <w:rsid w:val="00CD5B06"/>
    <w:rsid w:val="00CE0424"/>
    <w:rsid w:val="00CE1F10"/>
    <w:rsid w:val="00CE29BD"/>
    <w:rsid w:val="00CE4310"/>
    <w:rsid w:val="00CE62A0"/>
    <w:rsid w:val="00CE7561"/>
    <w:rsid w:val="00CE7BB0"/>
    <w:rsid w:val="00CF093E"/>
    <w:rsid w:val="00CF0E9C"/>
    <w:rsid w:val="00CF1354"/>
    <w:rsid w:val="00CF1878"/>
    <w:rsid w:val="00CF1E3E"/>
    <w:rsid w:val="00CF3B1F"/>
    <w:rsid w:val="00CF3BF6"/>
    <w:rsid w:val="00CF625B"/>
    <w:rsid w:val="00CF687E"/>
    <w:rsid w:val="00D0037C"/>
    <w:rsid w:val="00D0349B"/>
    <w:rsid w:val="00D03EAB"/>
    <w:rsid w:val="00D047B6"/>
    <w:rsid w:val="00D05C05"/>
    <w:rsid w:val="00D060E2"/>
    <w:rsid w:val="00D0700B"/>
    <w:rsid w:val="00D070E3"/>
    <w:rsid w:val="00D07A35"/>
    <w:rsid w:val="00D10249"/>
    <w:rsid w:val="00D115C3"/>
    <w:rsid w:val="00D11897"/>
    <w:rsid w:val="00D13135"/>
    <w:rsid w:val="00D13E4E"/>
    <w:rsid w:val="00D15856"/>
    <w:rsid w:val="00D16132"/>
    <w:rsid w:val="00D2354B"/>
    <w:rsid w:val="00D239A7"/>
    <w:rsid w:val="00D23F47"/>
    <w:rsid w:val="00D2435B"/>
    <w:rsid w:val="00D244CF"/>
    <w:rsid w:val="00D26B80"/>
    <w:rsid w:val="00D26C2C"/>
    <w:rsid w:val="00D27178"/>
    <w:rsid w:val="00D27DA4"/>
    <w:rsid w:val="00D316E5"/>
    <w:rsid w:val="00D342E0"/>
    <w:rsid w:val="00D3537E"/>
    <w:rsid w:val="00D3694E"/>
    <w:rsid w:val="00D36E71"/>
    <w:rsid w:val="00D37D87"/>
    <w:rsid w:val="00D40A33"/>
    <w:rsid w:val="00D40B33"/>
    <w:rsid w:val="00D40D40"/>
    <w:rsid w:val="00D42820"/>
    <w:rsid w:val="00D4318F"/>
    <w:rsid w:val="00D431BA"/>
    <w:rsid w:val="00D4371C"/>
    <w:rsid w:val="00D438BF"/>
    <w:rsid w:val="00D440BC"/>
    <w:rsid w:val="00D440F8"/>
    <w:rsid w:val="00D457E5"/>
    <w:rsid w:val="00D469A4"/>
    <w:rsid w:val="00D4718B"/>
    <w:rsid w:val="00D47728"/>
    <w:rsid w:val="00D50676"/>
    <w:rsid w:val="00D5333C"/>
    <w:rsid w:val="00D53548"/>
    <w:rsid w:val="00D54042"/>
    <w:rsid w:val="00D546FF"/>
    <w:rsid w:val="00D55AD5"/>
    <w:rsid w:val="00D55DFA"/>
    <w:rsid w:val="00D576CA"/>
    <w:rsid w:val="00D61AF5"/>
    <w:rsid w:val="00D63852"/>
    <w:rsid w:val="00D63B3E"/>
    <w:rsid w:val="00D652B5"/>
    <w:rsid w:val="00D66155"/>
    <w:rsid w:val="00D666B8"/>
    <w:rsid w:val="00D67C9C"/>
    <w:rsid w:val="00D708B0"/>
    <w:rsid w:val="00D739B7"/>
    <w:rsid w:val="00D740FD"/>
    <w:rsid w:val="00D746DC"/>
    <w:rsid w:val="00D77AF9"/>
    <w:rsid w:val="00D77B1D"/>
    <w:rsid w:val="00D8021F"/>
    <w:rsid w:val="00D80383"/>
    <w:rsid w:val="00D809B9"/>
    <w:rsid w:val="00D823C6"/>
    <w:rsid w:val="00D8327F"/>
    <w:rsid w:val="00D856F6"/>
    <w:rsid w:val="00D86CA3"/>
    <w:rsid w:val="00D86DE9"/>
    <w:rsid w:val="00D87098"/>
    <w:rsid w:val="00D871CE"/>
    <w:rsid w:val="00D8758D"/>
    <w:rsid w:val="00D90355"/>
    <w:rsid w:val="00D904F8"/>
    <w:rsid w:val="00D90977"/>
    <w:rsid w:val="00D9196D"/>
    <w:rsid w:val="00D92982"/>
    <w:rsid w:val="00D95A60"/>
    <w:rsid w:val="00D967D8"/>
    <w:rsid w:val="00D96F33"/>
    <w:rsid w:val="00D970BD"/>
    <w:rsid w:val="00D97B26"/>
    <w:rsid w:val="00DA1258"/>
    <w:rsid w:val="00DA23CC"/>
    <w:rsid w:val="00DA305E"/>
    <w:rsid w:val="00DA3204"/>
    <w:rsid w:val="00DA4D74"/>
    <w:rsid w:val="00DA5417"/>
    <w:rsid w:val="00DA56E8"/>
    <w:rsid w:val="00DA67A2"/>
    <w:rsid w:val="00DA6816"/>
    <w:rsid w:val="00DA7BE2"/>
    <w:rsid w:val="00DB0A9F"/>
    <w:rsid w:val="00DB0B44"/>
    <w:rsid w:val="00DB324E"/>
    <w:rsid w:val="00DB377D"/>
    <w:rsid w:val="00DB50FA"/>
    <w:rsid w:val="00DB5806"/>
    <w:rsid w:val="00DB58FA"/>
    <w:rsid w:val="00DC071C"/>
    <w:rsid w:val="00DC1850"/>
    <w:rsid w:val="00DC2A1B"/>
    <w:rsid w:val="00DC2D36"/>
    <w:rsid w:val="00DC2D60"/>
    <w:rsid w:val="00DC357B"/>
    <w:rsid w:val="00DC3C80"/>
    <w:rsid w:val="00DC53EF"/>
    <w:rsid w:val="00DC6580"/>
    <w:rsid w:val="00DD1B77"/>
    <w:rsid w:val="00DD1BD0"/>
    <w:rsid w:val="00DD36AA"/>
    <w:rsid w:val="00DD38C5"/>
    <w:rsid w:val="00DD5136"/>
    <w:rsid w:val="00DD636F"/>
    <w:rsid w:val="00DD77DA"/>
    <w:rsid w:val="00DE0E01"/>
    <w:rsid w:val="00DE0E83"/>
    <w:rsid w:val="00DE5608"/>
    <w:rsid w:val="00DE5689"/>
    <w:rsid w:val="00DE58D0"/>
    <w:rsid w:val="00DE654F"/>
    <w:rsid w:val="00DE6742"/>
    <w:rsid w:val="00DE72CF"/>
    <w:rsid w:val="00DF0B6E"/>
    <w:rsid w:val="00DF149B"/>
    <w:rsid w:val="00DF15E0"/>
    <w:rsid w:val="00DF19C9"/>
    <w:rsid w:val="00DF2EFA"/>
    <w:rsid w:val="00DF34E5"/>
    <w:rsid w:val="00DF37A0"/>
    <w:rsid w:val="00DF4096"/>
    <w:rsid w:val="00DF6215"/>
    <w:rsid w:val="00E0009D"/>
    <w:rsid w:val="00E008D4"/>
    <w:rsid w:val="00E0164A"/>
    <w:rsid w:val="00E01B03"/>
    <w:rsid w:val="00E02B33"/>
    <w:rsid w:val="00E041C4"/>
    <w:rsid w:val="00E0439B"/>
    <w:rsid w:val="00E05854"/>
    <w:rsid w:val="00E05BD1"/>
    <w:rsid w:val="00E0636F"/>
    <w:rsid w:val="00E1046F"/>
    <w:rsid w:val="00E107A2"/>
    <w:rsid w:val="00E10C26"/>
    <w:rsid w:val="00E110E7"/>
    <w:rsid w:val="00E11B20"/>
    <w:rsid w:val="00E1227C"/>
    <w:rsid w:val="00E12562"/>
    <w:rsid w:val="00E127A9"/>
    <w:rsid w:val="00E1296D"/>
    <w:rsid w:val="00E14ACE"/>
    <w:rsid w:val="00E17FA2"/>
    <w:rsid w:val="00E20310"/>
    <w:rsid w:val="00E20596"/>
    <w:rsid w:val="00E2128A"/>
    <w:rsid w:val="00E21B25"/>
    <w:rsid w:val="00E21E09"/>
    <w:rsid w:val="00E22330"/>
    <w:rsid w:val="00E2289A"/>
    <w:rsid w:val="00E25C9A"/>
    <w:rsid w:val="00E30208"/>
    <w:rsid w:val="00E30AA7"/>
    <w:rsid w:val="00E30B5A"/>
    <w:rsid w:val="00E3123D"/>
    <w:rsid w:val="00E31461"/>
    <w:rsid w:val="00E31D43"/>
    <w:rsid w:val="00E32608"/>
    <w:rsid w:val="00E33113"/>
    <w:rsid w:val="00E34188"/>
    <w:rsid w:val="00E34B6E"/>
    <w:rsid w:val="00E35559"/>
    <w:rsid w:val="00E35991"/>
    <w:rsid w:val="00E3666F"/>
    <w:rsid w:val="00E367BA"/>
    <w:rsid w:val="00E36BEA"/>
    <w:rsid w:val="00E3723A"/>
    <w:rsid w:val="00E3765E"/>
    <w:rsid w:val="00E377FB"/>
    <w:rsid w:val="00E37860"/>
    <w:rsid w:val="00E40AF2"/>
    <w:rsid w:val="00E41D3A"/>
    <w:rsid w:val="00E425AE"/>
    <w:rsid w:val="00E446F1"/>
    <w:rsid w:val="00E44F71"/>
    <w:rsid w:val="00E46886"/>
    <w:rsid w:val="00E469C1"/>
    <w:rsid w:val="00E47AEF"/>
    <w:rsid w:val="00E511A9"/>
    <w:rsid w:val="00E5200E"/>
    <w:rsid w:val="00E53B75"/>
    <w:rsid w:val="00E54E3B"/>
    <w:rsid w:val="00E57004"/>
    <w:rsid w:val="00E572AC"/>
    <w:rsid w:val="00E57565"/>
    <w:rsid w:val="00E61C8C"/>
    <w:rsid w:val="00E6227A"/>
    <w:rsid w:val="00E63299"/>
    <w:rsid w:val="00E63838"/>
    <w:rsid w:val="00E64434"/>
    <w:rsid w:val="00E64DE3"/>
    <w:rsid w:val="00E662B1"/>
    <w:rsid w:val="00E66673"/>
    <w:rsid w:val="00E67738"/>
    <w:rsid w:val="00E67C51"/>
    <w:rsid w:val="00E72EFC"/>
    <w:rsid w:val="00E758EC"/>
    <w:rsid w:val="00E77B22"/>
    <w:rsid w:val="00E77F28"/>
    <w:rsid w:val="00E8006E"/>
    <w:rsid w:val="00E8041E"/>
    <w:rsid w:val="00E8234C"/>
    <w:rsid w:val="00E82A6E"/>
    <w:rsid w:val="00E83AA9"/>
    <w:rsid w:val="00E83E8F"/>
    <w:rsid w:val="00E84913"/>
    <w:rsid w:val="00E84A07"/>
    <w:rsid w:val="00E84A71"/>
    <w:rsid w:val="00E85928"/>
    <w:rsid w:val="00E873C9"/>
    <w:rsid w:val="00E87822"/>
    <w:rsid w:val="00E90395"/>
    <w:rsid w:val="00E903E2"/>
    <w:rsid w:val="00E90E49"/>
    <w:rsid w:val="00E917F9"/>
    <w:rsid w:val="00E9291C"/>
    <w:rsid w:val="00E93FFE"/>
    <w:rsid w:val="00E94F8A"/>
    <w:rsid w:val="00E96019"/>
    <w:rsid w:val="00E97096"/>
    <w:rsid w:val="00E97C92"/>
    <w:rsid w:val="00EA2A30"/>
    <w:rsid w:val="00EA399F"/>
    <w:rsid w:val="00EA47AF"/>
    <w:rsid w:val="00EA5059"/>
    <w:rsid w:val="00EA5482"/>
    <w:rsid w:val="00EA64A8"/>
    <w:rsid w:val="00EA724D"/>
    <w:rsid w:val="00EA7593"/>
    <w:rsid w:val="00EA759D"/>
    <w:rsid w:val="00EA7A41"/>
    <w:rsid w:val="00EB077B"/>
    <w:rsid w:val="00EB0D28"/>
    <w:rsid w:val="00EB1573"/>
    <w:rsid w:val="00EB17DE"/>
    <w:rsid w:val="00EB27A8"/>
    <w:rsid w:val="00EB32AC"/>
    <w:rsid w:val="00EB3343"/>
    <w:rsid w:val="00EB3EC1"/>
    <w:rsid w:val="00EB4EA2"/>
    <w:rsid w:val="00EB5BFD"/>
    <w:rsid w:val="00EB5CAE"/>
    <w:rsid w:val="00EC100B"/>
    <w:rsid w:val="00EC245D"/>
    <w:rsid w:val="00EC24D5"/>
    <w:rsid w:val="00EC27C6"/>
    <w:rsid w:val="00EC4207"/>
    <w:rsid w:val="00EC5178"/>
    <w:rsid w:val="00EC5653"/>
    <w:rsid w:val="00EC5992"/>
    <w:rsid w:val="00EC71CE"/>
    <w:rsid w:val="00EC7355"/>
    <w:rsid w:val="00EC7FE1"/>
    <w:rsid w:val="00ED079A"/>
    <w:rsid w:val="00ED1006"/>
    <w:rsid w:val="00ED1188"/>
    <w:rsid w:val="00ED4AFE"/>
    <w:rsid w:val="00ED6102"/>
    <w:rsid w:val="00ED6281"/>
    <w:rsid w:val="00ED7874"/>
    <w:rsid w:val="00ED7C23"/>
    <w:rsid w:val="00EE0D30"/>
    <w:rsid w:val="00EE1CD7"/>
    <w:rsid w:val="00EE1E98"/>
    <w:rsid w:val="00EE3B6B"/>
    <w:rsid w:val="00EE3BB8"/>
    <w:rsid w:val="00EE3C39"/>
    <w:rsid w:val="00EE6750"/>
    <w:rsid w:val="00EE6C84"/>
    <w:rsid w:val="00EE74EF"/>
    <w:rsid w:val="00EE7CDD"/>
    <w:rsid w:val="00EF0920"/>
    <w:rsid w:val="00EF18FE"/>
    <w:rsid w:val="00EF194A"/>
    <w:rsid w:val="00EF22EF"/>
    <w:rsid w:val="00EF2A3F"/>
    <w:rsid w:val="00EF2EA4"/>
    <w:rsid w:val="00EF4809"/>
    <w:rsid w:val="00EF5787"/>
    <w:rsid w:val="00EF60D0"/>
    <w:rsid w:val="00EF61A0"/>
    <w:rsid w:val="00EF6952"/>
    <w:rsid w:val="00EF709C"/>
    <w:rsid w:val="00F003AC"/>
    <w:rsid w:val="00F0468F"/>
    <w:rsid w:val="00F0528D"/>
    <w:rsid w:val="00F05DC6"/>
    <w:rsid w:val="00F06C67"/>
    <w:rsid w:val="00F06DFD"/>
    <w:rsid w:val="00F071D1"/>
    <w:rsid w:val="00F07533"/>
    <w:rsid w:val="00F07FCE"/>
    <w:rsid w:val="00F10629"/>
    <w:rsid w:val="00F12F3F"/>
    <w:rsid w:val="00F14112"/>
    <w:rsid w:val="00F141F4"/>
    <w:rsid w:val="00F14945"/>
    <w:rsid w:val="00F14EE4"/>
    <w:rsid w:val="00F14FEB"/>
    <w:rsid w:val="00F15584"/>
    <w:rsid w:val="00F15FA5"/>
    <w:rsid w:val="00F2053E"/>
    <w:rsid w:val="00F209B7"/>
    <w:rsid w:val="00F20F5C"/>
    <w:rsid w:val="00F21DF6"/>
    <w:rsid w:val="00F22A0E"/>
    <w:rsid w:val="00F2376F"/>
    <w:rsid w:val="00F243D8"/>
    <w:rsid w:val="00F2465C"/>
    <w:rsid w:val="00F26EE1"/>
    <w:rsid w:val="00F27E22"/>
    <w:rsid w:val="00F30510"/>
    <w:rsid w:val="00F30828"/>
    <w:rsid w:val="00F313D6"/>
    <w:rsid w:val="00F333F3"/>
    <w:rsid w:val="00F33F28"/>
    <w:rsid w:val="00F358C1"/>
    <w:rsid w:val="00F36313"/>
    <w:rsid w:val="00F36CF4"/>
    <w:rsid w:val="00F370F5"/>
    <w:rsid w:val="00F40F0C"/>
    <w:rsid w:val="00F430FD"/>
    <w:rsid w:val="00F43B0D"/>
    <w:rsid w:val="00F4430C"/>
    <w:rsid w:val="00F44F68"/>
    <w:rsid w:val="00F4684D"/>
    <w:rsid w:val="00F4766C"/>
    <w:rsid w:val="00F5015A"/>
    <w:rsid w:val="00F50354"/>
    <w:rsid w:val="00F5060E"/>
    <w:rsid w:val="00F507D1"/>
    <w:rsid w:val="00F519CE"/>
    <w:rsid w:val="00F51ADA"/>
    <w:rsid w:val="00F53934"/>
    <w:rsid w:val="00F5410A"/>
    <w:rsid w:val="00F5450A"/>
    <w:rsid w:val="00F54F3D"/>
    <w:rsid w:val="00F553D5"/>
    <w:rsid w:val="00F573F4"/>
    <w:rsid w:val="00F576F0"/>
    <w:rsid w:val="00F60203"/>
    <w:rsid w:val="00F607C5"/>
    <w:rsid w:val="00F60DEA"/>
    <w:rsid w:val="00F60ED7"/>
    <w:rsid w:val="00F61A24"/>
    <w:rsid w:val="00F61EFA"/>
    <w:rsid w:val="00F6302A"/>
    <w:rsid w:val="00F63950"/>
    <w:rsid w:val="00F6409B"/>
    <w:rsid w:val="00F648CD"/>
    <w:rsid w:val="00F64C2B"/>
    <w:rsid w:val="00F64E8F"/>
    <w:rsid w:val="00F651BE"/>
    <w:rsid w:val="00F65DD6"/>
    <w:rsid w:val="00F66613"/>
    <w:rsid w:val="00F66AEC"/>
    <w:rsid w:val="00F67526"/>
    <w:rsid w:val="00F67F53"/>
    <w:rsid w:val="00F703BE"/>
    <w:rsid w:val="00F71F69"/>
    <w:rsid w:val="00F728EF"/>
    <w:rsid w:val="00F72B72"/>
    <w:rsid w:val="00F74BB9"/>
    <w:rsid w:val="00F74CED"/>
    <w:rsid w:val="00F75582"/>
    <w:rsid w:val="00F76375"/>
    <w:rsid w:val="00F76EFA"/>
    <w:rsid w:val="00F77DA4"/>
    <w:rsid w:val="00F804BE"/>
    <w:rsid w:val="00F80FC2"/>
    <w:rsid w:val="00F817CE"/>
    <w:rsid w:val="00F81B55"/>
    <w:rsid w:val="00F829D5"/>
    <w:rsid w:val="00F83037"/>
    <w:rsid w:val="00F8456C"/>
    <w:rsid w:val="00F85437"/>
    <w:rsid w:val="00F859D8"/>
    <w:rsid w:val="00F86737"/>
    <w:rsid w:val="00F868F5"/>
    <w:rsid w:val="00F87769"/>
    <w:rsid w:val="00F9056A"/>
    <w:rsid w:val="00F90F8D"/>
    <w:rsid w:val="00F912EC"/>
    <w:rsid w:val="00F914B9"/>
    <w:rsid w:val="00F91D1A"/>
    <w:rsid w:val="00F92782"/>
    <w:rsid w:val="00F93046"/>
    <w:rsid w:val="00F933FF"/>
    <w:rsid w:val="00F93AA9"/>
    <w:rsid w:val="00F95697"/>
    <w:rsid w:val="00F96985"/>
    <w:rsid w:val="00F97838"/>
    <w:rsid w:val="00F97F94"/>
    <w:rsid w:val="00FA010E"/>
    <w:rsid w:val="00FA0360"/>
    <w:rsid w:val="00FA0C09"/>
    <w:rsid w:val="00FA2BB3"/>
    <w:rsid w:val="00FA3BBA"/>
    <w:rsid w:val="00FA41D6"/>
    <w:rsid w:val="00FA4355"/>
    <w:rsid w:val="00FA437A"/>
    <w:rsid w:val="00FA45D6"/>
    <w:rsid w:val="00FA5174"/>
    <w:rsid w:val="00FA5881"/>
    <w:rsid w:val="00FA5946"/>
    <w:rsid w:val="00FB0778"/>
    <w:rsid w:val="00FB0B04"/>
    <w:rsid w:val="00FB1249"/>
    <w:rsid w:val="00FB1332"/>
    <w:rsid w:val="00FB3D11"/>
    <w:rsid w:val="00FB3E23"/>
    <w:rsid w:val="00FB4C0D"/>
    <w:rsid w:val="00FB4C80"/>
    <w:rsid w:val="00FB5142"/>
    <w:rsid w:val="00FB5659"/>
    <w:rsid w:val="00FB6590"/>
    <w:rsid w:val="00FB6A6A"/>
    <w:rsid w:val="00FB780A"/>
    <w:rsid w:val="00FB7878"/>
    <w:rsid w:val="00FC01F7"/>
    <w:rsid w:val="00FC1586"/>
    <w:rsid w:val="00FC4436"/>
    <w:rsid w:val="00FC45F4"/>
    <w:rsid w:val="00FC4A70"/>
    <w:rsid w:val="00FC4DFA"/>
    <w:rsid w:val="00FC689F"/>
    <w:rsid w:val="00FC7429"/>
    <w:rsid w:val="00FD0499"/>
    <w:rsid w:val="00FD07F6"/>
    <w:rsid w:val="00FD1EC8"/>
    <w:rsid w:val="00FD47ED"/>
    <w:rsid w:val="00FD4EB9"/>
    <w:rsid w:val="00FD518F"/>
    <w:rsid w:val="00FD5BCE"/>
    <w:rsid w:val="00FD5EED"/>
    <w:rsid w:val="00FD74DB"/>
    <w:rsid w:val="00FD7660"/>
    <w:rsid w:val="00FD77DA"/>
    <w:rsid w:val="00FD7E3C"/>
    <w:rsid w:val="00FE0655"/>
    <w:rsid w:val="00FE0AB8"/>
    <w:rsid w:val="00FE2365"/>
    <w:rsid w:val="00FE322F"/>
    <w:rsid w:val="00FE37D7"/>
    <w:rsid w:val="00FE4C7B"/>
    <w:rsid w:val="00FE5381"/>
    <w:rsid w:val="00FE7336"/>
    <w:rsid w:val="00FE787C"/>
    <w:rsid w:val="00FF0AC2"/>
    <w:rsid w:val="00FF195C"/>
    <w:rsid w:val="00FF2743"/>
    <w:rsid w:val="00FF45A5"/>
    <w:rsid w:val="00FF4AC4"/>
    <w:rsid w:val="00FF5247"/>
    <w:rsid w:val="00FF5696"/>
    <w:rsid w:val="00FF5C91"/>
    <w:rsid w:val="00FF74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0ADD8"/>
  <w15:chartTrackingRefBased/>
  <w15:docId w15:val="{3384E976-37EB-475B-B875-814951793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customStyle="1" w:styleId="Agreement">
    <w:name w:val="Agreement"/>
    <w:basedOn w:val="Normal"/>
    <w:next w:val="Doc-text2"/>
    <w:qFormat/>
    <w:rsid w:val="00CF1878"/>
    <w:pPr>
      <w:numPr>
        <w:numId w:val="13"/>
      </w:numPr>
      <w:overflowPunct/>
      <w:autoSpaceDE/>
      <w:autoSpaceDN/>
      <w:adjustRightInd/>
      <w:spacing w:before="60" w:after="160" w:line="259" w:lineRule="auto"/>
      <w:textAlignment w:val="auto"/>
    </w:pPr>
    <w:rPr>
      <w:rFonts w:ascii="Arial" w:eastAsia="MS Mincho" w:hAnsi="Arial" w:cstheme="minorBidi"/>
      <w:b/>
      <w:szCs w:val="22"/>
      <w:lang w:val="en-US" w:eastAsia="en-GB"/>
    </w:rPr>
  </w:style>
  <w:style w:type="paragraph" w:styleId="NormalWeb">
    <w:name w:val="Normal (Web)"/>
    <w:basedOn w:val="Normal"/>
    <w:uiPriority w:val="99"/>
    <w:unhideWhenUsed/>
    <w:qFormat/>
    <w:rsid w:val="00855D4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xmsonormal">
    <w:name w:val="x_msonormal"/>
    <w:basedOn w:val="Normal"/>
    <w:qFormat/>
    <w:rsid w:val="00855D4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IvDbodytext">
    <w:name w:val="IvD bodytext"/>
    <w:basedOn w:val="BodyText"/>
    <w:link w:val="IvDbodytextChar"/>
    <w:qFormat/>
    <w:rsid w:val="0088016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theme="minorBidi"/>
      <w:spacing w:val="2"/>
      <w:szCs w:val="22"/>
      <w:lang w:val="en-US" w:eastAsia="en-US"/>
    </w:rPr>
  </w:style>
  <w:style w:type="character" w:customStyle="1" w:styleId="IvDbodytextChar">
    <w:name w:val="IvD bodytext Char"/>
    <w:basedOn w:val="BodyTextChar"/>
    <w:link w:val="IvDbodytext"/>
    <w:rsid w:val="00880168"/>
    <w:rPr>
      <w:rFonts w:ascii="Arial" w:eastAsiaTheme="minorHAnsi" w:hAnsi="Arial" w:cstheme="minorBidi"/>
      <w:spacing w:val="2"/>
      <w:szCs w:val="22"/>
      <w:lang w:val="en-US" w:eastAsia="en-US"/>
    </w:rPr>
  </w:style>
  <w:style w:type="character" w:customStyle="1" w:styleId="CaptionChar1">
    <w:name w:val="Caption Char1"/>
    <w:aliases w:val="cap Char1,cap Char Char,Caption Char Char,Caption Char1 Char Char,cap Char Char1 Char,Caption Char Char1 Char Char,cap Char2 Char,题注 Char,cap1 Char,cap2 Char,cap3 Char,cap4 Char,cap5 Char,cap6 Char,cap7 Char,cap8 Char,cap9 Char,cap10 Char"/>
    <w:link w:val="Caption"/>
    <w:locked/>
    <w:rsid w:val="0030200E"/>
    <w:rPr>
      <w:rFonts w:ascii="Times New Roman" w:hAnsi="Times New Roman"/>
      <w:b/>
    </w:rPr>
  </w:style>
  <w:style w:type="character" w:styleId="Mention">
    <w:name w:val="Mention"/>
    <w:basedOn w:val="DefaultParagraphFont"/>
    <w:uiPriority w:val="99"/>
    <w:unhideWhenUsed/>
    <w:rsid w:val="006508A3"/>
    <w:rPr>
      <w:color w:val="2B579A"/>
      <w:shd w:val="clear" w:color="auto" w:fill="E1DFDD"/>
    </w:rPr>
  </w:style>
  <w:style w:type="paragraph" w:styleId="Revision">
    <w:name w:val="Revision"/>
    <w:hidden/>
    <w:uiPriority w:val="99"/>
    <w:semiHidden/>
    <w:rsid w:val="00703CAB"/>
    <w:rPr>
      <w:rFonts w:ascii="Times New Roman" w:hAnsi="Times New Roman"/>
      <w:lang w:eastAsia="ja-JP"/>
    </w:rPr>
  </w:style>
  <w:style w:type="paragraph" w:styleId="Title">
    <w:name w:val="Title"/>
    <w:basedOn w:val="Normal"/>
    <w:next w:val="Normal"/>
    <w:link w:val="TitleChar"/>
    <w:uiPriority w:val="10"/>
    <w:qFormat/>
    <w:rsid w:val="00874A2C"/>
    <w:pPr>
      <w:tabs>
        <w:tab w:val="right" w:pos="9923"/>
      </w:tabs>
      <w:overflowPunct/>
      <w:autoSpaceDE/>
      <w:autoSpaceDN/>
      <w:adjustRightInd/>
      <w:spacing w:after="60"/>
      <w:textAlignment w:val="auto"/>
      <w:outlineLvl w:val="0"/>
    </w:pPr>
    <w:rPr>
      <w:rFonts w:ascii="Arial" w:eastAsiaTheme="majorEastAsia" w:hAnsi="Arial" w:cs="Arial"/>
      <w:b/>
      <w:bCs/>
      <w:kern w:val="28"/>
      <w:sz w:val="22"/>
      <w:szCs w:val="22"/>
      <w:lang w:eastAsia="en-US"/>
    </w:rPr>
  </w:style>
  <w:style w:type="character" w:customStyle="1" w:styleId="TitleChar">
    <w:name w:val="Title Char"/>
    <w:basedOn w:val="DefaultParagraphFont"/>
    <w:link w:val="Title"/>
    <w:uiPriority w:val="10"/>
    <w:rsid w:val="00874A2C"/>
    <w:rPr>
      <w:rFonts w:ascii="Arial" w:eastAsiaTheme="majorEastAsia" w:hAnsi="Arial" w:cs="Arial"/>
      <w:b/>
      <w:bCs/>
      <w:kern w:val="28"/>
      <w:sz w:val="22"/>
      <w:szCs w:val="22"/>
      <w:lang w:eastAsia="en-US"/>
    </w:rPr>
  </w:style>
  <w:style w:type="paragraph" w:customStyle="1" w:styleId="Comments">
    <w:name w:val="Comments"/>
    <w:basedOn w:val="Normal"/>
    <w:link w:val="CommentsChar"/>
    <w:qFormat/>
    <w:rsid w:val="008D1242"/>
    <w:pPr>
      <w:spacing w:before="40" w:after="0"/>
    </w:pPr>
    <w:rPr>
      <w:rFonts w:ascii="Arial" w:hAnsi="Arial"/>
      <w:i/>
      <w:noProof/>
      <w:sz w:val="18"/>
    </w:rPr>
  </w:style>
  <w:style w:type="character" w:customStyle="1" w:styleId="CommentsChar">
    <w:name w:val="Comments Char"/>
    <w:link w:val="Comments"/>
    <w:qFormat/>
    <w:rsid w:val="008D1242"/>
    <w:rPr>
      <w:rFonts w:ascii="Arial" w:hAnsi="Arial"/>
      <w:i/>
      <w:noProof/>
      <w:sz w:val="18"/>
      <w:lang w:eastAsia="ja-JP"/>
    </w:rPr>
  </w:style>
  <w:style w:type="character" w:customStyle="1" w:styleId="B1Char">
    <w:name w:val="B1 Char"/>
    <w:qFormat/>
    <w:rsid w:val="00F5450A"/>
  </w:style>
  <w:style w:type="character" w:customStyle="1" w:styleId="TACChar">
    <w:name w:val="TAC Char"/>
    <w:link w:val="TAC"/>
    <w:rsid w:val="00F5450A"/>
    <w:rPr>
      <w:rFonts w:ascii="Arial" w:hAnsi="Arial"/>
      <w:sz w:val="18"/>
      <w:lang w:val="x-none" w:eastAsia="x-none"/>
    </w:rPr>
  </w:style>
  <w:style w:type="character" w:styleId="PlaceholderText">
    <w:name w:val="Placeholder Text"/>
    <w:uiPriority w:val="99"/>
    <w:semiHidden/>
    <w:rsid w:val="00DA7BE2"/>
    <w:rPr>
      <w:color w:val="808080"/>
    </w:rPr>
  </w:style>
  <w:style w:type="character" w:customStyle="1" w:styleId="TALChar">
    <w:name w:val="TAL Char"/>
    <w:rsid w:val="00DA7BE2"/>
    <w:rPr>
      <w:rFonts w:ascii="Arial" w:eastAsia="SimSun" w:hAnsi="Arial"/>
      <w:sz w:val="18"/>
      <w:lang w:val="en-GB" w:eastAsia="x-none"/>
    </w:rPr>
  </w:style>
  <w:style w:type="character" w:customStyle="1" w:styleId="ProposalChar">
    <w:name w:val="Proposal Char"/>
    <w:link w:val="Proposal"/>
    <w:qFormat/>
    <w:locked/>
    <w:rsid w:val="00241907"/>
    <w:rPr>
      <w:rFonts w:ascii="Arial" w:hAnsi="Arial"/>
      <w:b/>
      <w:bCs/>
      <w:lang w:eastAsia="zh-CN"/>
    </w:rPr>
  </w:style>
  <w:style w:type="character" w:customStyle="1" w:styleId="IvDInstructiontextChar">
    <w:name w:val="IvD Instructiontext Char"/>
    <w:link w:val="IvDInstructiontext"/>
    <w:uiPriority w:val="99"/>
    <w:locked/>
    <w:rsid w:val="0024190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2419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1733">
      <w:bodyDiv w:val="1"/>
      <w:marLeft w:val="0"/>
      <w:marRight w:val="0"/>
      <w:marTop w:val="0"/>
      <w:marBottom w:val="0"/>
      <w:divBdr>
        <w:top w:val="none" w:sz="0" w:space="0" w:color="auto"/>
        <w:left w:val="none" w:sz="0" w:space="0" w:color="auto"/>
        <w:bottom w:val="none" w:sz="0" w:space="0" w:color="auto"/>
        <w:right w:val="none" w:sz="0" w:space="0" w:color="auto"/>
      </w:divBdr>
      <w:divsChild>
        <w:div w:id="22099058">
          <w:marLeft w:val="0"/>
          <w:marRight w:val="0"/>
          <w:marTop w:val="0"/>
          <w:marBottom w:val="0"/>
          <w:divBdr>
            <w:top w:val="none" w:sz="0" w:space="0" w:color="auto"/>
            <w:left w:val="none" w:sz="0" w:space="0" w:color="auto"/>
            <w:bottom w:val="none" w:sz="0" w:space="0" w:color="auto"/>
            <w:right w:val="none" w:sz="0" w:space="0" w:color="auto"/>
          </w:divBdr>
        </w:div>
      </w:divsChild>
    </w:div>
    <w:div w:id="13118276">
      <w:bodyDiv w:val="1"/>
      <w:marLeft w:val="0"/>
      <w:marRight w:val="0"/>
      <w:marTop w:val="0"/>
      <w:marBottom w:val="0"/>
      <w:divBdr>
        <w:top w:val="none" w:sz="0" w:space="0" w:color="auto"/>
        <w:left w:val="none" w:sz="0" w:space="0" w:color="auto"/>
        <w:bottom w:val="none" w:sz="0" w:space="0" w:color="auto"/>
        <w:right w:val="none" w:sz="0" w:space="0" w:color="auto"/>
      </w:divBdr>
    </w:div>
    <w:div w:id="188299101">
      <w:bodyDiv w:val="1"/>
      <w:marLeft w:val="0"/>
      <w:marRight w:val="0"/>
      <w:marTop w:val="0"/>
      <w:marBottom w:val="0"/>
      <w:divBdr>
        <w:top w:val="none" w:sz="0" w:space="0" w:color="auto"/>
        <w:left w:val="none" w:sz="0" w:space="0" w:color="auto"/>
        <w:bottom w:val="none" w:sz="0" w:space="0" w:color="auto"/>
        <w:right w:val="none" w:sz="0" w:space="0" w:color="auto"/>
      </w:divBdr>
    </w:div>
    <w:div w:id="203297664">
      <w:bodyDiv w:val="1"/>
      <w:marLeft w:val="0"/>
      <w:marRight w:val="0"/>
      <w:marTop w:val="0"/>
      <w:marBottom w:val="0"/>
      <w:divBdr>
        <w:top w:val="none" w:sz="0" w:space="0" w:color="auto"/>
        <w:left w:val="none" w:sz="0" w:space="0" w:color="auto"/>
        <w:bottom w:val="none" w:sz="0" w:space="0" w:color="auto"/>
        <w:right w:val="none" w:sz="0" w:space="0" w:color="auto"/>
      </w:divBdr>
    </w:div>
    <w:div w:id="263617377">
      <w:bodyDiv w:val="1"/>
      <w:marLeft w:val="0"/>
      <w:marRight w:val="0"/>
      <w:marTop w:val="0"/>
      <w:marBottom w:val="0"/>
      <w:divBdr>
        <w:top w:val="none" w:sz="0" w:space="0" w:color="auto"/>
        <w:left w:val="none" w:sz="0" w:space="0" w:color="auto"/>
        <w:bottom w:val="none" w:sz="0" w:space="0" w:color="auto"/>
        <w:right w:val="none" w:sz="0" w:space="0" w:color="auto"/>
      </w:divBdr>
    </w:div>
    <w:div w:id="303434310">
      <w:bodyDiv w:val="1"/>
      <w:marLeft w:val="0"/>
      <w:marRight w:val="0"/>
      <w:marTop w:val="0"/>
      <w:marBottom w:val="0"/>
      <w:divBdr>
        <w:top w:val="none" w:sz="0" w:space="0" w:color="auto"/>
        <w:left w:val="none" w:sz="0" w:space="0" w:color="auto"/>
        <w:bottom w:val="none" w:sz="0" w:space="0" w:color="auto"/>
        <w:right w:val="none" w:sz="0" w:space="0" w:color="auto"/>
      </w:divBdr>
    </w:div>
    <w:div w:id="376200553">
      <w:bodyDiv w:val="1"/>
      <w:marLeft w:val="0"/>
      <w:marRight w:val="0"/>
      <w:marTop w:val="0"/>
      <w:marBottom w:val="0"/>
      <w:divBdr>
        <w:top w:val="none" w:sz="0" w:space="0" w:color="auto"/>
        <w:left w:val="none" w:sz="0" w:space="0" w:color="auto"/>
        <w:bottom w:val="none" w:sz="0" w:space="0" w:color="auto"/>
        <w:right w:val="none" w:sz="0" w:space="0" w:color="auto"/>
      </w:divBdr>
    </w:div>
    <w:div w:id="377583429">
      <w:bodyDiv w:val="1"/>
      <w:marLeft w:val="0"/>
      <w:marRight w:val="0"/>
      <w:marTop w:val="0"/>
      <w:marBottom w:val="0"/>
      <w:divBdr>
        <w:top w:val="none" w:sz="0" w:space="0" w:color="auto"/>
        <w:left w:val="none" w:sz="0" w:space="0" w:color="auto"/>
        <w:bottom w:val="none" w:sz="0" w:space="0" w:color="auto"/>
        <w:right w:val="none" w:sz="0" w:space="0" w:color="auto"/>
      </w:divBdr>
    </w:div>
    <w:div w:id="426002206">
      <w:bodyDiv w:val="1"/>
      <w:marLeft w:val="0"/>
      <w:marRight w:val="0"/>
      <w:marTop w:val="0"/>
      <w:marBottom w:val="0"/>
      <w:divBdr>
        <w:top w:val="none" w:sz="0" w:space="0" w:color="auto"/>
        <w:left w:val="none" w:sz="0" w:space="0" w:color="auto"/>
        <w:bottom w:val="none" w:sz="0" w:space="0" w:color="auto"/>
        <w:right w:val="none" w:sz="0" w:space="0" w:color="auto"/>
      </w:divBdr>
    </w:div>
    <w:div w:id="430130576">
      <w:bodyDiv w:val="1"/>
      <w:marLeft w:val="0"/>
      <w:marRight w:val="0"/>
      <w:marTop w:val="0"/>
      <w:marBottom w:val="0"/>
      <w:divBdr>
        <w:top w:val="none" w:sz="0" w:space="0" w:color="auto"/>
        <w:left w:val="none" w:sz="0" w:space="0" w:color="auto"/>
        <w:bottom w:val="none" w:sz="0" w:space="0" w:color="auto"/>
        <w:right w:val="none" w:sz="0" w:space="0" w:color="auto"/>
      </w:divBdr>
    </w:div>
    <w:div w:id="544565572">
      <w:bodyDiv w:val="1"/>
      <w:marLeft w:val="0"/>
      <w:marRight w:val="0"/>
      <w:marTop w:val="0"/>
      <w:marBottom w:val="0"/>
      <w:divBdr>
        <w:top w:val="none" w:sz="0" w:space="0" w:color="auto"/>
        <w:left w:val="none" w:sz="0" w:space="0" w:color="auto"/>
        <w:bottom w:val="none" w:sz="0" w:space="0" w:color="auto"/>
        <w:right w:val="none" w:sz="0" w:space="0" w:color="auto"/>
      </w:divBdr>
    </w:div>
    <w:div w:id="545215155">
      <w:bodyDiv w:val="1"/>
      <w:marLeft w:val="0"/>
      <w:marRight w:val="0"/>
      <w:marTop w:val="0"/>
      <w:marBottom w:val="0"/>
      <w:divBdr>
        <w:top w:val="none" w:sz="0" w:space="0" w:color="auto"/>
        <w:left w:val="none" w:sz="0" w:space="0" w:color="auto"/>
        <w:bottom w:val="none" w:sz="0" w:space="0" w:color="auto"/>
        <w:right w:val="none" w:sz="0" w:space="0" w:color="auto"/>
      </w:divBdr>
    </w:div>
    <w:div w:id="561479592">
      <w:bodyDiv w:val="1"/>
      <w:marLeft w:val="0"/>
      <w:marRight w:val="0"/>
      <w:marTop w:val="0"/>
      <w:marBottom w:val="0"/>
      <w:divBdr>
        <w:top w:val="none" w:sz="0" w:space="0" w:color="auto"/>
        <w:left w:val="none" w:sz="0" w:space="0" w:color="auto"/>
        <w:bottom w:val="none" w:sz="0" w:space="0" w:color="auto"/>
        <w:right w:val="none" w:sz="0" w:space="0" w:color="auto"/>
      </w:divBdr>
    </w:div>
    <w:div w:id="577207307">
      <w:bodyDiv w:val="1"/>
      <w:marLeft w:val="0"/>
      <w:marRight w:val="0"/>
      <w:marTop w:val="0"/>
      <w:marBottom w:val="0"/>
      <w:divBdr>
        <w:top w:val="none" w:sz="0" w:space="0" w:color="auto"/>
        <w:left w:val="none" w:sz="0" w:space="0" w:color="auto"/>
        <w:bottom w:val="none" w:sz="0" w:space="0" w:color="auto"/>
        <w:right w:val="none" w:sz="0" w:space="0" w:color="auto"/>
      </w:divBdr>
    </w:div>
    <w:div w:id="675811410">
      <w:bodyDiv w:val="1"/>
      <w:marLeft w:val="0"/>
      <w:marRight w:val="0"/>
      <w:marTop w:val="0"/>
      <w:marBottom w:val="0"/>
      <w:divBdr>
        <w:top w:val="none" w:sz="0" w:space="0" w:color="auto"/>
        <w:left w:val="none" w:sz="0" w:space="0" w:color="auto"/>
        <w:bottom w:val="none" w:sz="0" w:space="0" w:color="auto"/>
        <w:right w:val="none" w:sz="0" w:space="0" w:color="auto"/>
      </w:divBdr>
    </w:div>
    <w:div w:id="710617784">
      <w:bodyDiv w:val="1"/>
      <w:marLeft w:val="0"/>
      <w:marRight w:val="0"/>
      <w:marTop w:val="0"/>
      <w:marBottom w:val="0"/>
      <w:divBdr>
        <w:top w:val="none" w:sz="0" w:space="0" w:color="auto"/>
        <w:left w:val="none" w:sz="0" w:space="0" w:color="auto"/>
        <w:bottom w:val="none" w:sz="0" w:space="0" w:color="auto"/>
        <w:right w:val="none" w:sz="0" w:space="0" w:color="auto"/>
      </w:divBdr>
    </w:div>
    <w:div w:id="725490502">
      <w:bodyDiv w:val="1"/>
      <w:marLeft w:val="0"/>
      <w:marRight w:val="0"/>
      <w:marTop w:val="0"/>
      <w:marBottom w:val="0"/>
      <w:divBdr>
        <w:top w:val="none" w:sz="0" w:space="0" w:color="auto"/>
        <w:left w:val="none" w:sz="0" w:space="0" w:color="auto"/>
        <w:bottom w:val="none" w:sz="0" w:space="0" w:color="auto"/>
        <w:right w:val="none" w:sz="0" w:space="0" w:color="auto"/>
      </w:divBdr>
    </w:div>
    <w:div w:id="786893844">
      <w:bodyDiv w:val="1"/>
      <w:marLeft w:val="0"/>
      <w:marRight w:val="0"/>
      <w:marTop w:val="0"/>
      <w:marBottom w:val="0"/>
      <w:divBdr>
        <w:top w:val="none" w:sz="0" w:space="0" w:color="auto"/>
        <w:left w:val="none" w:sz="0" w:space="0" w:color="auto"/>
        <w:bottom w:val="none" w:sz="0" w:space="0" w:color="auto"/>
        <w:right w:val="none" w:sz="0" w:space="0" w:color="auto"/>
      </w:divBdr>
    </w:div>
    <w:div w:id="787168138">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24321890">
      <w:bodyDiv w:val="1"/>
      <w:marLeft w:val="0"/>
      <w:marRight w:val="0"/>
      <w:marTop w:val="0"/>
      <w:marBottom w:val="0"/>
      <w:divBdr>
        <w:top w:val="none" w:sz="0" w:space="0" w:color="auto"/>
        <w:left w:val="none" w:sz="0" w:space="0" w:color="auto"/>
        <w:bottom w:val="none" w:sz="0" w:space="0" w:color="auto"/>
        <w:right w:val="none" w:sz="0" w:space="0" w:color="auto"/>
      </w:divBdr>
    </w:div>
    <w:div w:id="838346636">
      <w:bodyDiv w:val="1"/>
      <w:marLeft w:val="0"/>
      <w:marRight w:val="0"/>
      <w:marTop w:val="0"/>
      <w:marBottom w:val="0"/>
      <w:divBdr>
        <w:top w:val="none" w:sz="0" w:space="0" w:color="auto"/>
        <w:left w:val="none" w:sz="0" w:space="0" w:color="auto"/>
        <w:bottom w:val="none" w:sz="0" w:space="0" w:color="auto"/>
        <w:right w:val="none" w:sz="0" w:space="0" w:color="auto"/>
      </w:divBdr>
    </w:div>
    <w:div w:id="849564873">
      <w:bodyDiv w:val="1"/>
      <w:marLeft w:val="0"/>
      <w:marRight w:val="0"/>
      <w:marTop w:val="0"/>
      <w:marBottom w:val="0"/>
      <w:divBdr>
        <w:top w:val="none" w:sz="0" w:space="0" w:color="auto"/>
        <w:left w:val="none" w:sz="0" w:space="0" w:color="auto"/>
        <w:bottom w:val="none" w:sz="0" w:space="0" w:color="auto"/>
        <w:right w:val="none" w:sz="0" w:space="0" w:color="auto"/>
      </w:divBdr>
    </w:div>
    <w:div w:id="862323298">
      <w:bodyDiv w:val="1"/>
      <w:marLeft w:val="0"/>
      <w:marRight w:val="0"/>
      <w:marTop w:val="0"/>
      <w:marBottom w:val="0"/>
      <w:divBdr>
        <w:top w:val="none" w:sz="0" w:space="0" w:color="auto"/>
        <w:left w:val="none" w:sz="0" w:space="0" w:color="auto"/>
        <w:bottom w:val="none" w:sz="0" w:space="0" w:color="auto"/>
        <w:right w:val="none" w:sz="0" w:space="0" w:color="auto"/>
      </w:divBdr>
    </w:div>
    <w:div w:id="886377417">
      <w:bodyDiv w:val="1"/>
      <w:marLeft w:val="0"/>
      <w:marRight w:val="0"/>
      <w:marTop w:val="0"/>
      <w:marBottom w:val="0"/>
      <w:divBdr>
        <w:top w:val="none" w:sz="0" w:space="0" w:color="auto"/>
        <w:left w:val="none" w:sz="0" w:space="0" w:color="auto"/>
        <w:bottom w:val="none" w:sz="0" w:space="0" w:color="auto"/>
        <w:right w:val="none" w:sz="0" w:space="0" w:color="auto"/>
      </w:divBdr>
    </w:div>
    <w:div w:id="901796021">
      <w:bodyDiv w:val="1"/>
      <w:marLeft w:val="0"/>
      <w:marRight w:val="0"/>
      <w:marTop w:val="0"/>
      <w:marBottom w:val="0"/>
      <w:divBdr>
        <w:top w:val="none" w:sz="0" w:space="0" w:color="auto"/>
        <w:left w:val="none" w:sz="0" w:space="0" w:color="auto"/>
        <w:bottom w:val="none" w:sz="0" w:space="0" w:color="auto"/>
        <w:right w:val="none" w:sz="0" w:space="0" w:color="auto"/>
      </w:divBdr>
    </w:div>
    <w:div w:id="921795720">
      <w:bodyDiv w:val="1"/>
      <w:marLeft w:val="0"/>
      <w:marRight w:val="0"/>
      <w:marTop w:val="0"/>
      <w:marBottom w:val="0"/>
      <w:divBdr>
        <w:top w:val="none" w:sz="0" w:space="0" w:color="auto"/>
        <w:left w:val="none" w:sz="0" w:space="0" w:color="auto"/>
        <w:bottom w:val="none" w:sz="0" w:space="0" w:color="auto"/>
        <w:right w:val="none" w:sz="0" w:space="0" w:color="auto"/>
      </w:divBdr>
      <w:divsChild>
        <w:div w:id="1386873480">
          <w:marLeft w:val="0"/>
          <w:marRight w:val="0"/>
          <w:marTop w:val="0"/>
          <w:marBottom w:val="0"/>
          <w:divBdr>
            <w:top w:val="none" w:sz="0" w:space="0" w:color="auto"/>
            <w:left w:val="none" w:sz="0" w:space="0" w:color="auto"/>
            <w:bottom w:val="none" w:sz="0" w:space="0" w:color="auto"/>
            <w:right w:val="none" w:sz="0" w:space="0" w:color="auto"/>
          </w:divBdr>
        </w:div>
      </w:divsChild>
    </w:div>
    <w:div w:id="926112739">
      <w:bodyDiv w:val="1"/>
      <w:marLeft w:val="0"/>
      <w:marRight w:val="0"/>
      <w:marTop w:val="0"/>
      <w:marBottom w:val="0"/>
      <w:divBdr>
        <w:top w:val="none" w:sz="0" w:space="0" w:color="auto"/>
        <w:left w:val="none" w:sz="0" w:space="0" w:color="auto"/>
        <w:bottom w:val="none" w:sz="0" w:space="0" w:color="auto"/>
        <w:right w:val="none" w:sz="0" w:space="0" w:color="auto"/>
      </w:divBdr>
    </w:div>
    <w:div w:id="946960061">
      <w:bodyDiv w:val="1"/>
      <w:marLeft w:val="0"/>
      <w:marRight w:val="0"/>
      <w:marTop w:val="0"/>
      <w:marBottom w:val="0"/>
      <w:divBdr>
        <w:top w:val="none" w:sz="0" w:space="0" w:color="auto"/>
        <w:left w:val="none" w:sz="0" w:space="0" w:color="auto"/>
        <w:bottom w:val="none" w:sz="0" w:space="0" w:color="auto"/>
        <w:right w:val="none" w:sz="0" w:space="0" w:color="auto"/>
      </w:divBdr>
    </w:div>
    <w:div w:id="958805145">
      <w:bodyDiv w:val="1"/>
      <w:marLeft w:val="0"/>
      <w:marRight w:val="0"/>
      <w:marTop w:val="0"/>
      <w:marBottom w:val="0"/>
      <w:divBdr>
        <w:top w:val="none" w:sz="0" w:space="0" w:color="auto"/>
        <w:left w:val="none" w:sz="0" w:space="0" w:color="auto"/>
        <w:bottom w:val="none" w:sz="0" w:space="0" w:color="auto"/>
        <w:right w:val="none" w:sz="0" w:space="0" w:color="auto"/>
      </w:divBdr>
    </w:div>
    <w:div w:id="1004893849">
      <w:bodyDiv w:val="1"/>
      <w:marLeft w:val="0"/>
      <w:marRight w:val="0"/>
      <w:marTop w:val="0"/>
      <w:marBottom w:val="0"/>
      <w:divBdr>
        <w:top w:val="none" w:sz="0" w:space="0" w:color="auto"/>
        <w:left w:val="none" w:sz="0" w:space="0" w:color="auto"/>
        <w:bottom w:val="none" w:sz="0" w:space="0" w:color="auto"/>
        <w:right w:val="none" w:sz="0" w:space="0" w:color="auto"/>
      </w:divBdr>
    </w:div>
    <w:div w:id="1023282096">
      <w:bodyDiv w:val="1"/>
      <w:marLeft w:val="0"/>
      <w:marRight w:val="0"/>
      <w:marTop w:val="0"/>
      <w:marBottom w:val="0"/>
      <w:divBdr>
        <w:top w:val="none" w:sz="0" w:space="0" w:color="auto"/>
        <w:left w:val="none" w:sz="0" w:space="0" w:color="auto"/>
        <w:bottom w:val="none" w:sz="0" w:space="0" w:color="auto"/>
        <w:right w:val="none" w:sz="0" w:space="0" w:color="auto"/>
      </w:divBdr>
      <w:divsChild>
        <w:div w:id="1548106431">
          <w:marLeft w:val="1166"/>
          <w:marRight w:val="0"/>
          <w:marTop w:val="0"/>
          <w:marBottom w:val="180"/>
          <w:divBdr>
            <w:top w:val="none" w:sz="0" w:space="0" w:color="auto"/>
            <w:left w:val="none" w:sz="0" w:space="0" w:color="auto"/>
            <w:bottom w:val="none" w:sz="0" w:space="0" w:color="auto"/>
            <w:right w:val="none" w:sz="0" w:space="0" w:color="auto"/>
          </w:divBdr>
        </w:div>
      </w:divsChild>
    </w:div>
    <w:div w:id="1067339219">
      <w:bodyDiv w:val="1"/>
      <w:marLeft w:val="0"/>
      <w:marRight w:val="0"/>
      <w:marTop w:val="0"/>
      <w:marBottom w:val="0"/>
      <w:divBdr>
        <w:top w:val="none" w:sz="0" w:space="0" w:color="auto"/>
        <w:left w:val="none" w:sz="0" w:space="0" w:color="auto"/>
        <w:bottom w:val="none" w:sz="0" w:space="0" w:color="auto"/>
        <w:right w:val="none" w:sz="0" w:space="0" w:color="auto"/>
      </w:divBdr>
    </w:div>
    <w:div w:id="1080295924">
      <w:bodyDiv w:val="1"/>
      <w:marLeft w:val="0"/>
      <w:marRight w:val="0"/>
      <w:marTop w:val="0"/>
      <w:marBottom w:val="0"/>
      <w:divBdr>
        <w:top w:val="none" w:sz="0" w:space="0" w:color="auto"/>
        <w:left w:val="none" w:sz="0" w:space="0" w:color="auto"/>
        <w:bottom w:val="none" w:sz="0" w:space="0" w:color="auto"/>
        <w:right w:val="none" w:sz="0" w:space="0" w:color="auto"/>
      </w:divBdr>
    </w:div>
    <w:div w:id="1083332309">
      <w:bodyDiv w:val="1"/>
      <w:marLeft w:val="0"/>
      <w:marRight w:val="0"/>
      <w:marTop w:val="0"/>
      <w:marBottom w:val="0"/>
      <w:divBdr>
        <w:top w:val="none" w:sz="0" w:space="0" w:color="auto"/>
        <w:left w:val="none" w:sz="0" w:space="0" w:color="auto"/>
        <w:bottom w:val="none" w:sz="0" w:space="0" w:color="auto"/>
        <w:right w:val="none" w:sz="0" w:space="0" w:color="auto"/>
      </w:divBdr>
    </w:div>
    <w:div w:id="1112474747">
      <w:bodyDiv w:val="1"/>
      <w:marLeft w:val="0"/>
      <w:marRight w:val="0"/>
      <w:marTop w:val="0"/>
      <w:marBottom w:val="0"/>
      <w:divBdr>
        <w:top w:val="none" w:sz="0" w:space="0" w:color="auto"/>
        <w:left w:val="none" w:sz="0" w:space="0" w:color="auto"/>
        <w:bottom w:val="none" w:sz="0" w:space="0" w:color="auto"/>
        <w:right w:val="none" w:sz="0" w:space="0" w:color="auto"/>
      </w:divBdr>
    </w:div>
    <w:div w:id="1133330054">
      <w:bodyDiv w:val="1"/>
      <w:marLeft w:val="0"/>
      <w:marRight w:val="0"/>
      <w:marTop w:val="0"/>
      <w:marBottom w:val="0"/>
      <w:divBdr>
        <w:top w:val="none" w:sz="0" w:space="0" w:color="auto"/>
        <w:left w:val="none" w:sz="0" w:space="0" w:color="auto"/>
        <w:bottom w:val="none" w:sz="0" w:space="0" w:color="auto"/>
        <w:right w:val="none" w:sz="0" w:space="0" w:color="auto"/>
      </w:divBdr>
    </w:div>
    <w:div w:id="1133448872">
      <w:bodyDiv w:val="1"/>
      <w:marLeft w:val="0"/>
      <w:marRight w:val="0"/>
      <w:marTop w:val="0"/>
      <w:marBottom w:val="0"/>
      <w:divBdr>
        <w:top w:val="none" w:sz="0" w:space="0" w:color="auto"/>
        <w:left w:val="none" w:sz="0" w:space="0" w:color="auto"/>
        <w:bottom w:val="none" w:sz="0" w:space="0" w:color="auto"/>
        <w:right w:val="none" w:sz="0" w:space="0" w:color="auto"/>
      </w:divBdr>
    </w:div>
    <w:div w:id="1175270585">
      <w:bodyDiv w:val="1"/>
      <w:marLeft w:val="0"/>
      <w:marRight w:val="0"/>
      <w:marTop w:val="0"/>
      <w:marBottom w:val="0"/>
      <w:divBdr>
        <w:top w:val="none" w:sz="0" w:space="0" w:color="auto"/>
        <w:left w:val="none" w:sz="0" w:space="0" w:color="auto"/>
        <w:bottom w:val="none" w:sz="0" w:space="0" w:color="auto"/>
        <w:right w:val="none" w:sz="0" w:space="0" w:color="auto"/>
      </w:divBdr>
      <w:divsChild>
        <w:div w:id="883176263">
          <w:marLeft w:val="0"/>
          <w:marRight w:val="0"/>
          <w:marTop w:val="0"/>
          <w:marBottom w:val="0"/>
          <w:divBdr>
            <w:top w:val="none" w:sz="0" w:space="0" w:color="auto"/>
            <w:left w:val="none" w:sz="0" w:space="0" w:color="auto"/>
            <w:bottom w:val="none" w:sz="0" w:space="0" w:color="auto"/>
            <w:right w:val="none" w:sz="0" w:space="0" w:color="auto"/>
          </w:divBdr>
        </w:div>
      </w:divsChild>
    </w:div>
    <w:div w:id="1215973138">
      <w:bodyDiv w:val="1"/>
      <w:marLeft w:val="0"/>
      <w:marRight w:val="0"/>
      <w:marTop w:val="0"/>
      <w:marBottom w:val="0"/>
      <w:divBdr>
        <w:top w:val="none" w:sz="0" w:space="0" w:color="auto"/>
        <w:left w:val="none" w:sz="0" w:space="0" w:color="auto"/>
        <w:bottom w:val="none" w:sz="0" w:space="0" w:color="auto"/>
        <w:right w:val="none" w:sz="0" w:space="0" w:color="auto"/>
      </w:divBdr>
    </w:div>
    <w:div w:id="1279024878">
      <w:bodyDiv w:val="1"/>
      <w:marLeft w:val="0"/>
      <w:marRight w:val="0"/>
      <w:marTop w:val="0"/>
      <w:marBottom w:val="0"/>
      <w:divBdr>
        <w:top w:val="none" w:sz="0" w:space="0" w:color="auto"/>
        <w:left w:val="none" w:sz="0" w:space="0" w:color="auto"/>
        <w:bottom w:val="none" w:sz="0" w:space="0" w:color="auto"/>
        <w:right w:val="none" w:sz="0" w:space="0" w:color="auto"/>
      </w:divBdr>
    </w:div>
    <w:div w:id="1286547276">
      <w:bodyDiv w:val="1"/>
      <w:marLeft w:val="0"/>
      <w:marRight w:val="0"/>
      <w:marTop w:val="0"/>
      <w:marBottom w:val="0"/>
      <w:divBdr>
        <w:top w:val="none" w:sz="0" w:space="0" w:color="auto"/>
        <w:left w:val="none" w:sz="0" w:space="0" w:color="auto"/>
        <w:bottom w:val="none" w:sz="0" w:space="0" w:color="auto"/>
        <w:right w:val="none" w:sz="0" w:space="0" w:color="auto"/>
      </w:divBdr>
      <w:divsChild>
        <w:div w:id="744645898">
          <w:marLeft w:val="0"/>
          <w:marRight w:val="0"/>
          <w:marTop w:val="0"/>
          <w:marBottom w:val="0"/>
          <w:divBdr>
            <w:top w:val="none" w:sz="0" w:space="0" w:color="auto"/>
            <w:left w:val="none" w:sz="0" w:space="0" w:color="auto"/>
            <w:bottom w:val="none" w:sz="0" w:space="0" w:color="auto"/>
            <w:right w:val="none" w:sz="0" w:space="0" w:color="auto"/>
          </w:divBdr>
        </w:div>
      </w:divsChild>
    </w:div>
    <w:div w:id="1297877326">
      <w:bodyDiv w:val="1"/>
      <w:marLeft w:val="0"/>
      <w:marRight w:val="0"/>
      <w:marTop w:val="0"/>
      <w:marBottom w:val="0"/>
      <w:divBdr>
        <w:top w:val="none" w:sz="0" w:space="0" w:color="auto"/>
        <w:left w:val="none" w:sz="0" w:space="0" w:color="auto"/>
        <w:bottom w:val="none" w:sz="0" w:space="0" w:color="auto"/>
        <w:right w:val="none" w:sz="0" w:space="0" w:color="auto"/>
      </w:divBdr>
    </w:div>
    <w:div w:id="1318651720">
      <w:bodyDiv w:val="1"/>
      <w:marLeft w:val="0"/>
      <w:marRight w:val="0"/>
      <w:marTop w:val="0"/>
      <w:marBottom w:val="0"/>
      <w:divBdr>
        <w:top w:val="none" w:sz="0" w:space="0" w:color="auto"/>
        <w:left w:val="none" w:sz="0" w:space="0" w:color="auto"/>
        <w:bottom w:val="none" w:sz="0" w:space="0" w:color="auto"/>
        <w:right w:val="none" w:sz="0" w:space="0" w:color="auto"/>
      </w:divBdr>
    </w:div>
    <w:div w:id="1338658614">
      <w:bodyDiv w:val="1"/>
      <w:marLeft w:val="0"/>
      <w:marRight w:val="0"/>
      <w:marTop w:val="0"/>
      <w:marBottom w:val="0"/>
      <w:divBdr>
        <w:top w:val="none" w:sz="0" w:space="0" w:color="auto"/>
        <w:left w:val="none" w:sz="0" w:space="0" w:color="auto"/>
        <w:bottom w:val="none" w:sz="0" w:space="0" w:color="auto"/>
        <w:right w:val="none" w:sz="0" w:space="0" w:color="auto"/>
      </w:divBdr>
    </w:div>
    <w:div w:id="1349060170">
      <w:bodyDiv w:val="1"/>
      <w:marLeft w:val="0"/>
      <w:marRight w:val="0"/>
      <w:marTop w:val="0"/>
      <w:marBottom w:val="0"/>
      <w:divBdr>
        <w:top w:val="none" w:sz="0" w:space="0" w:color="auto"/>
        <w:left w:val="none" w:sz="0" w:space="0" w:color="auto"/>
        <w:bottom w:val="none" w:sz="0" w:space="0" w:color="auto"/>
        <w:right w:val="none" w:sz="0" w:space="0" w:color="auto"/>
      </w:divBdr>
    </w:div>
    <w:div w:id="1418790783">
      <w:bodyDiv w:val="1"/>
      <w:marLeft w:val="0"/>
      <w:marRight w:val="0"/>
      <w:marTop w:val="0"/>
      <w:marBottom w:val="0"/>
      <w:divBdr>
        <w:top w:val="none" w:sz="0" w:space="0" w:color="auto"/>
        <w:left w:val="none" w:sz="0" w:space="0" w:color="auto"/>
        <w:bottom w:val="none" w:sz="0" w:space="0" w:color="auto"/>
        <w:right w:val="none" w:sz="0" w:space="0" w:color="auto"/>
      </w:divBdr>
    </w:div>
    <w:div w:id="1467091954">
      <w:bodyDiv w:val="1"/>
      <w:marLeft w:val="0"/>
      <w:marRight w:val="0"/>
      <w:marTop w:val="0"/>
      <w:marBottom w:val="0"/>
      <w:divBdr>
        <w:top w:val="none" w:sz="0" w:space="0" w:color="auto"/>
        <w:left w:val="none" w:sz="0" w:space="0" w:color="auto"/>
        <w:bottom w:val="none" w:sz="0" w:space="0" w:color="auto"/>
        <w:right w:val="none" w:sz="0" w:space="0" w:color="auto"/>
      </w:divBdr>
    </w:div>
    <w:div w:id="1497961315">
      <w:bodyDiv w:val="1"/>
      <w:marLeft w:val="0"/>
      <w:marRight w:val="0"/>
      <w:marTop w:val="0"/>
      <w:marBottom w:val="0"/>
      <w:divBdr>
        <w:top w:val="none" w:sz="0" w:space="0" w:color="auto"/>
        <w:left w:val="none" w:sz="0" w:space="0" w:color="auto"/>
        <w:bottom w:val="none" w:sz="0" w:space="0" w:color="auto"/>
        <w:right w:val="none" w:sz="0" w:space="0" w:color="auto"/>
      </w:divBdr>
    </w:div>
    <w:div w:id="1508010955">
      <w:bodyDiv w:val="1"/>
      <w:marLeft w:val="0"/>
      <w:marRight w:val="0"/>
      <w:marTop w:val="0"/>
      <w:marBottom w:val="0"/>
      <w:divBdr>
        <w:top w:val="none" w:sz="0" w:space="0" w:color="auto"/>
        <w:left w:val="none" w:sz="0" w:space="0" w:color="auto"/>
        <w:bottom w:val="none" w:sz="0" w:space="0" w:color="auto"/>
        <w:right w:val="none" w:sz="0" w:space="0" w:color="auto"/>
      </w:divBdr>
    </w:div>
    <w:div w:id="1513647474">
      <w:bodyDiv w:val="1"/>
      <w:marLeft w:val="0"/>
      <w:marRight w:val="0"/>
      <w:marTop w:val="0"/>
      <w:marBottom w:val="0"/>
      <w:divBdr>
        <w:top w:val="none" w:sz="0" w:space="0" w:color="auto"/>
        <w:left w:val="none" w:sz="0" w:space="0" w:color="auto"/>
        <w:bottom w:val="none" w:sz="0" w:space="0" w:color="auto"/>
        <w:right w:val="none" w:sz="0" w:space="0" w:color="auto"/>
      </w:divBdr>
    </w:div>
    <w:div w:id="1536505708">
      <w:bodyDiv w:val="1"/>
      <w:marLeft w:val="0"/>
      <w:marRight w:val="0"/>
      <w:marTop w:val="0"/>
      <w:marBottom w:val="0"/>
      <w:divBdr>
        <w:top w:val="none" w:sz="0" w:space="0" w:color="auto"/>
        <w:left w:val="none" w:sz="0" w:space="0" w:color="auto"/>
        <w:bottom w:val="none" w:sz="0" w:space="0" w:color="auto"/>
        <w:right w:val="none" w:sz="0" w:space="0" w:color="auto"/>
      </w:divBdr>
      <w:divsChild>
        <w:div w:id="568423324">
          <w:marLeft w:val="0"/>
          <w:marRight w:val="0"/>
          <w:marTop w:val="0"/>
          <w:marBottom w:val="0"/>
          <w:divBdr>
            <w:top w:val="none" w:sz="0" w:space="0" w:color="auto"/>
            <w:left w:val="none" w:sz="0" w:space="0" w:color="auto"/>
            <w:bottom w:val="none" w:sz="0" w:space="0" w:color="auto"/>
            <w:right w:val="none" w:sz="0" w:space="0" w:color="auto"/>
          </w:divBdr>
        </w:div>
      </w:divsChild>
    </w:div>
    <w:div w:id="1556160659">
      <w:bodyDiv w:val="1"/>
      <w:marLeft w:val="0"/>
      <w:marRight w:val="0"/>
      <w:marTop w:val="0"/>
      <w:marBottom w:val="0"/>
      <w:divBdr>
        <w:top w:val="none" w:sz="0" w:space="0" w:color="auto"/>
        <w:left w:val="none" w:sz="0" w:space="0" w:color="auto"/>
        <w:bottom w:val="none" w:sz="0" w:space="0" w:color="auto"/>
        <w:right w:val="none" w:sz="0" w:space="0" w:color="auto"/>
      </w:divBdr>
    </w:div>
    <w:div w:id="1584728023">
      <w:bodyDiv w:val="1"/>
      <w:marLeft w:val="0"/>
      <w:marRight w:val="0"/>
      <w:marTop w:val="0"/>
      <w:marBottom w:val="0"/>
      <w:divBdr>
        <w:top w:val="none" w:sz="0" w:space="0" w:color="auto"/>
        <w:left w:val="none" w:sz="0" w:space="0" w:color="auto"/>
        <w:bottom w:val="none" w:sz="0" w:space="0" w:color="auto"/>
        <w:right w:val="none" w:sz="0" w:space="0" w:color="auto"/>
      </w:divBdr>
    </w:div>
    <w:div w:id="1627657968">
      <w:bodyDiv w:val="1"/>
      <w:marLeft w:val="0"/>
      <w:marRight w:val="0"/>
      <w:marTop w:val="0"/>
      <w:marBottom w:val="0"/>
      <w:divBdr>
        <w:top w:val="none" w:sz="0" w:space="0" w:color="auto"/>
        <w:left w:val="none" w:sz="0" w:space="0" w:color="auto"/>
        <w:bottom w:val="none" w:sz="0" w:space="0" w:color="auto"/>
        <w:right w:val="none" w:sz="0" w:space="0" w:color="auto"/>
      </w:divBdr>
    </w:div>
    <w:div w:id="1660620147">
      <w:bodyDiv w:val="1"/>
      <w:marLeft w:val="0"/>
      <w:marRight w:val="0"/>
      <w:marTop w:val="0"/>
      <w:marBottom w:val="0"/>
      <w:divBdr>
        <w:top w:val="none" w:sz="0" w:space="0" w:color="auto"/>
        <w:left w:val="none" w:sz="0" w:space="0" w:color="auto"/>
        <w:bottom w:val="none" w:sz="0" w:space="0" w:color="auto"/>
        <w:right w:val="none" w:sz="0" w:space="0" w:color="auto"/>
      </w:divBdr>
    </w:div>
    <w:div w:id="1686050875">
      <w:bodyDiv w:val="1"/>
      <w:marLeft w:val="0"/>
      <w:marRight w:val="0"/>
      <w:marTop w:val="0"/>
      <w:marBottom w:val="0"/>
      <w:divBdr>
        <w:top w:val="none" w:sz="0" w:space="0" w:color="auto"/>
        <w:left w:val="none" w:sz="0" w:space="0" w:color="auto"/>
        <w:bottom w:val="none" w:sz="0" w:space="0" w:color="auto"/>
        <w:right w:val="none" w:sz="0" w:space="0" w:color="auto"/>
      </w:divBdr>
    </w:div>
    <w:div w:id="1697383577">
      <w:bodyDiv w:val="1"/>
      <w:marLeft w:val="0"/>
      <w:marRight w:val="0"/>
      <w:marTop w:val="0"/>
      <w:marBottom w:val="0"/>
      <w:divBdr>
        <w:top w:val="none" w:sz="0" w:space="0" w:color="auto"/>
        <w:left w:val="none" w:sz="0" w:space="0" w:color="auto"/>
        <w:bottom w:val="none" w:sz="0" w:space="0" w:color="auto"/>
        <w:right w:val="none" w:sz="0" w:space="0" w:color="auto"/>
      </w:divBdr>
    </w:div>
    <w:div w:id="1725988502">
      <w:bodyDiv w:val="1"/>
      <w:marLeft w:val="0"/>
      <w:marRight w:val="0"/>
      <w:marTop w:val="0"/>
      <w:marBottom w:val="0"/>
      <w:divBdr>
        <w:top w:val="none" w:sz="0" w:space="0" w:color="auto"/>
        <w:left w:val="none" w:sz="0" w:space="0" w:color="auto"/>
        <w:bottom w:val="none" w:sz="0" w:space="0" w:color="auto"/>
        <w:right w:val="none" w:sz="0" w:space="0" w:color="auto"/>
      </w:divBdr>
    </w:div>
    <w:div w:id="1747847093">
      <w:bodyDiv w:val="1"/>
      <w:marLeft w:val="0"/>
      <w:marRight w:val="0"/>
      <w:marTop w:val="0"/>
      <w:marBottom w:val="0"/>
      <w:divBdr>
        <w:top w:val="none" w:sz="0" w:space="0" w:color="auto"/>
        <w:left w:val="none" w:sz="0" w:space="0" w:color="auto"/>
        <w:bottom w:val="none" w:sz="0" w:space="0" w:color="auto"/>
        <w:right w:val="none" w:sz="0" w:space="0" w:color="auto"/>
      </w:divBdr>
    </w:div>
    <w:div w:id="1782070763">
      <w:bodyDiv w:val="1"/>
      <w:marLeft w:val="0"/>
      <w:marRight w:val="0"/>
      <w:marTop w:val="0"/>
      <w:marBottom w:val="0"/>
      <w:divBdr>
        <w:top w:val="none" w:sz="0" w:space="0" w:color="auto"/>
        <w:left w:val="none" w:sz="0" w:space="0" w:color="auto"/>
        <w:bottom w:val="none" w:sz="0" w:space="0" w:color="auto"/>
        <w:right w:val="none" w:sz="0" w:space="0" w:color="auto"/>
      </w:divBdr>
    </w:div>
    <w:div w:id="1845706182">
      <w:bodyDiv w:val="1"/>
      <w:marLeft w:val="0"/>
      <w:marRight w:val="0"/>
      <w:marTop w:val="0"/>
      <w:marBottom w:val="0"/>
      <w:divBdr>
        <w:top w:val="none" w:sz="0" w:space="0" w:color="auto"/>
        <w:left w:val="none" w:sz="0" w:space="0" w:color="auto"/>
        <w:bottom w:val="none" w:sz="0" w:space="0" w:color="auto"/>
        <w:right w:val="none" w:sz="0" w:space="0" w:color="auto"/>
      </w:divBdr>
    </w:div>
    <w:div w:id="1847940299">
      <w:bodyDiv w:val="1"/>
      <w:marLeft w:val="0"/>
      <w:marRight w:val="0"/>
      <w:marTop w:val="0"/>
      <w:marBottom w:val="0"/>
      <w:divBdr>
        <w:top w:val="none" w:sz="0" w:space="0" w:color="auto"/>
        <w:left w:val="none" w:sz="0" w:space="0" w:color="auto"/>
        <w:bottom w:val="none" w:sz="0" w:space="0" w:color="auto"/>
        <w:right w:val="none" w:sz="0" w:space="0" w:color="auto"/>
      </w:divBdr>
    </w:div>
    <w:div w:id="1868373171">
      <w:bodyDiv w:val="1"/>
      <w:marLeft w:val="0"/>
      <w:marRight w:val="0"/>
      <w:marTop w:val="0"/>
      <w:marBottom w:val="0"/>
      <w:divBdr>
        <w:top w:val="none" w:sz="0" w:space="0" w:color="auto"/>
        <w:left w:val="none" w:sz="0" w:space="0" w:color="auto"/>
        <w:bottom w:val="none" w:sz="0" w:space="0" w:color="auto"/>
        <w:right w:val="none" w:sz="0" w:space="0" w:color="auto"/>
      </w:divBdr>
    </w:div>
    <w:div w:id="1887720968">
      <w:bodyDiv w:val="1"/>
      <w:marLeft w:val="0"/>
      <w:marRight w:val="0"/>
      <w:marTop w:val="0"/>
      <w:marBottom w:val="0"/>
      <w:divBdr>
        <w:top w:val="none" w:sz="0" w:space="0" w:color="auto"/>
        <w:left w:val="none" w:sz="0" w:space="0" w:color="auto"/>
        <w:bottom w:val="none" w:sz="0" w:space="0" w:color="auto"/>
        <w:right w:val="none" w:sz="0" w:space="0" w:color="auto"/>
      </w:divBdr>
    </w:div>
    <w:div w:id="1951008757">
      <w:bodyDiv w:val="1"/>
      <w:marLeft w:val="0"/>
      <w:marRight w:val="0"/>
      <w:marTop w:val="0"/>
      <w:marBottom w:val="0"/>
      <w:divBdr>
        <w:top w:val="none" w:sz="0" w:space="0" w:color="auto"/>
        <w:left w:val="none" w:sz="0" w:space="0" w:color="auto"/>
        <w:bottom w:val="none" w:sz="0" w:space="0" w:color="auto"/>
        <w:right w:val="none" w:sz="0" w:space="0" w:color="auto"/>
      </w:divBdr>
    </w:div>
    <w:div w:id="1973321269">
      <w:bodyDiv w:val="1"/>
      <w:marLeft w:val="0"/>
      <w:marRight w:val="0"/>
      <w:marTop w:val="0"/>
      <w:marBottom w:val="0"/>
      <w:divBdr>
        <w:top w:val="none" w:sz="0" w:space="0" w:color="auto"/>
        <w:left w:val="none" w:sz="0" w:space="0" w:color="auto"/>
        <w:bottom w:val="none" w:sz="0" w:space="0" w:color="auto"/>
        <w:right w:val="none" w:sz="0" w:space="0" w:color="auto"/>
      </w:divBdr>
      <w:divsChild>
        <w:div w:id="827064390">
          <w:marLeft w:val="1166"/>
          <w:marRight w:val="0"/>
          <w:marTop w:val="0"/>
          <w:marBottom w:val="180"/>
          <w:divBdr>
            <w:top w:val="none" w:sz="0" w:space="0" w:color="auto"/>
            <w:left w:val="none" w:sz="0" w:space="0" w:color="auto"/>
            <w:bottom w:val="none" w:sz="0" w:space="0" w:color="auto"/>
            <w:right w:val="none" w:sz="0" w:space="0" w:color="auto"/>
          </w:divBdr>
        </w:div>
      </w:divsChild>
    </w:div>
    <w:div w:id="1985499126">
      <w:bodyDiv w:val="1"/>
      <w:marLeft w:val="0"/>
      <w:marRight w:val="0"/>
      <w:marTop w:val="0"/>
      <w:marBottom w:val="0"/>
      <w:divBdr>
        <w:top w:val="none" w:sz="0" w:space="0" w:color="auto"/>
        <w:left w:val="none" w:sz="0" w:space="0" w:color="auto"/>
        <w:bottom w:val="none" w:sz="0" w:space="0" w:color="auto"/>
        <w:right w:val="none" w:sz="0" w:space="0" w:color="auto"/>
      </w:divBdr>
    </w:div>
    <w:div w:id="1993027193">
      <w:bodyDiv w:val="1"/>
      <w:marLeft w:val="0"/>
      <w:marRight w:val="0"/>
      <w:marTop w:val="0"/>
      <w:marBottom w:val="0"/>
      <w:divBdr>
        <w:top w:val="none" w:sz="0" w:space="0" w:color="auto"/>
        <w:left w:val="none" w:sz="0" w:space="0" w:color="auto"/>
        <w:bottom w:val="none" w:sz="0" w:space="0" w:color="auto"/>
        <w:right w:val="none" w:sz="0" w:space="0" w:color="auto"/>
      </w:divBdr>
    </w:div>
    <w:div w:id="2062707389">
      <w:bodyDiv w:val="1"/>
      <w:marLeft w:val="0"/>
      <w:marRight w:val="0"/>
      <w:marTop w:val="0"/>
      <w:marBottom w:val="0"/>
      <w:divBdr>
        <w:top w:val="none" w:sz="0" w:space="0" w:color="auto"/>
        <w:left w:val="none" w:sz="0" w:space="0" w:color="auto"/>
        <w:bottom w:val="none" w:sz="0" w:space="0" w:color="auto"/>
        <w:right w:val="none" w:sz="0" w:space="0" w:color="auto"/>
      </w:divBdr>
    </w:div>
    <w:div w:id="212044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6-e/Docs/R2-2111098.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D7E96D5A-8590-4934-9F47-A51C4A994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46C01A-7A37-49B2-8FC9-9FBF2DE5E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34347</TotalTime>
  <Pages>8</Pages>
  <Words>3517</Words>
  <Characters>18381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21855</CharactersWithSpaces>
  <SharedDoc>false</SharedDoc>
  <HyperlinkBase/>
  <HLinks>
    <vt:vector size="42" baseType="variant">
      <vt:variant>
        <vt:i4>6422620</vt:i4>
      </vt:variant>
      <vt:variant>
        <vt:i4>36</vt:i4>
      </vt:variant>
      <vt:variant>
        <vt:i4>0</vt:i4>
      </vt:variant>
      <vt:variant>
        <vt:i4>5</vt:i4>
      </vt:variant>
      <vt:variant>
        <vt:lpwstr>https://www.3gpp.org/ftp/TSG_RAN/TSG_RAN/TSGR_89e/Docs/RP-201676.zip</vt:lpwstr>
      </vt:variant>
      <vt:variant>
        <vt:lpwstr/>
      </vt:variant>
      <vt:variant>
        <vt:i4>6488156</vt:i4>
      </vt:variant>
      <vt:variant>
        <vt:i4>33</vt:i4>
      </vt:variant>
      <vt:variant>
        <vt:i4>0</vt:i4>
      </vt:variant>
      <vt:variant>
        <vt:i4>5</vt:i4>
      </vt:variant>
      <vt:variant>
        <vt:lpwstr>https://www.3gpp.org/ftp/TSG_RAN/TSG_RAN/TSGR_89e/Docs/RP-201677.zip</vt:lpwstr>
      </vt:variant>
      <vt:variant>
        <vt:lpwstr/>
      </vt:variant>
      <vt:variant>
        <vt:i4>1245237</vt:i4>
      </vt:variant>
      <vt:variant>
        <vt:i4>29</vt:i4>
      </vt:variant>
      <vt:variant>
        <vt:i4>0</vt:i4>
      </vt:variant>
      <vt:variant>
        <vt:i4>5</vt:i4>
      </vt:variant>
      <vt:variant>
        <vt:lpwstr/>
      </vt:variant>
      <vt:variant>
        <vt:lpwstr>_Toc54010607</vt:lpwstr>
      </vt:variant>
      <vt:variant>
        <vt:i4>1179701</vt:i4>
      </vt:variant>
      <vt:variant>
        <vt:i4>26</vt:i4>
      </vt:variant>
      <vt:variant>
        <vt:i4>0</vt:i4>
      </vt:variant>
      <vt:variant>
        <vt:i4>5</vt:i4>
      </vt:variant>
      <vt:variant>
        <vt:lpwstr/>
      </vt:variant>
      <vt:variant>
        <vt:lpwstr>_Toc54010606</vt:lpwstr>
      </vt:variant>
      <vt:variant>
        <vt:i4>1441846</vt:i4>
      </vt:variant>
      <vt:variant>
        <vt:i4>20</vt:i4>
      </vt:variant>
      <vt:variant>
        <vt:i4>0</vt:i4>
      </vt:variant>
      <vt:variant>
        <vt:i4>5</vt:i4>
      </vt:variant>
      <vt:variant>
        <vt:lpwstr/>
      </vt:variant>
      <vt:variant>
        <vt:lpwstr>_Toc54042918</vt:lpwstr>
      </vt:variant>
      <vt:variant>
        <vt:i4>1638454</vt:i4>
      </vt:variant>
      <vt:variant>
        <vt:i4>17</vt:i4>
      </vt:variant>
      <vt:variant>
        <vt:i4>0</vt:i4>
      </vt:variant>
      <vt:variant>
        <vt:i4>5</vt:i4>
      </vt:variant>
      <vt:variant>
        <vt:lpwstr/>
      </vt:variant>
      <vt:variant>
        <vt:lpwstr>_Toc54042917</vt:lpwstr>
      </vt:variant>
      <vt:variant>
        <vt:i4>1572918</vt:i4>
      </vt:variant>
      <vt:variant>
        <vt:i4>14</vt:i4>
      </vt:variant>
      <vt:variant>
        <vt:i4>0</vt:i4>
      </vt:variant>
      <vt:variant>
        <vt:i4>5</vt:i4>
      </vt:variant>
      <vt:variant>
        <vt:lpwstr/>
      </vt:variant>
      <vt:variant>
        <vt:lpwstr>_Toc54042916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Tuomas Tirronen</dc:creator>
  <cp:keywords>3GPP; Ericsson; TDoc</cp:keywords>
  <dc:description/>
  <cp:lastModifiedBy>Emre A. Yavuz</cp:lastModifiedBy>
  <cp:revision>943</cp:revision>
  <cp:lastPrinted>2008-01-31T16:09:00Z</cp:lastPrinted>
  <dcterms:created xsi:type="dcterms:W3CDTF">2021-03-22T09:16:00Z</dcterms:created>
  <dcterms:modified xsi:type="dcterms:W3CDTF">2022-01-11T07:12:00Z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